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9559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5D5C74E">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4840CAC">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93.160</w:t>
            </w:r>
            <w:r>
              <w:rPr>
                <w:rFonts w:ascii="黑体" w:hAnsi="黑体" w:eastAsia="黑体"/>
                <w:sz w:val="21"/>
                <w:szCs w:val="21"/>
              </w:rPr>
              <w:fldChar w:fldCharType="end"/>
            </w:r>
            <w:bookmarkEnd w:id="0"/>
          </w:p>
        </w:tc>
      </w:tr>
      <w:tr w14:paraId="363A1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658E728">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1BD630C">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P59</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E156B6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61D6DC7">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66DB5BAD">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73D9F8C">
      <w:pPr>
        <w:pStyle w:val="196"/>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AC833BF">
      <w:pPr>
        <w:pStyle w:val="197"/>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9490C2B">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3FAA0AD">
      <w:pPr>
        <w:pStyle w:val="51"/>
        <w:framePr w:w="9639" w:h="6976" w:hRule="exact" w:hSpace="0" w:vSpace="0" w:wrap="around" w:hAnchor="page" w:y="6408"/>
        <w:jc w:val="center"/>
        <w:rPr>
          <w:rFonts w:ascii="黑体" w:hAnsi="黑体" w:eastAsia="黑体"/>
          <w:b w:val="0"/>
          <w:bCs w:val="0"/>
          <w:w w:val="100"/>
        </w:rPr>
      </w:pPr>
    </w:p>
    <w:p w14:paraId="7A4CEDCE">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内河</w:t>
      </w:r>
      <w:r>
        <w:rPr>
          <w:rFonts w:hint="eastAsia"/>
        </w:rPr>
        <w:t>水</w:t>
      </w:r>
      <w:r>
        <w:t>运设施健康监测与预警技术规范</w:t>
      </w:r>
    </w:p>
    <w:p w14:paraId="0669363D">
      <w:pPr>
        <w:pStyle w:val="198"/>
        <w:framePr w:h="6974" w:hRule="exact" w:wrap="around" w:x="1419" w:anchorLock="1"/>
        <w:rPr>
          <w:rFonts w:hint="eastAsia" w:eastAsia="黑体"/>
          <w:lang w:val="en-US" w:eastAsia="zh-CN"/>
        </w:rPr>
      </w:pPr>
      <w:r>
        <w:t>第</w:t>
      </w:r>
      <w:r>
        <w:rPr>
          <w:rFonts w:hint="eastAsia"/>
          <w:lang w:val="en-US" w:eastAsia="zh-CN"/>
        </w:rPr>
        <w:t>2</w:t>
      </w:r>
      <w:r>
        <w:t>部分：</w:t>
      </w:r>
      <w:r>
        <w:rPr>
          <w:rFonts w:hint="eastAsia"/>
          <w:lang w:val="en-US" w:eastAsia="zh-CN"/>
        </w:rPr>
        <w:t>平台技术</w:t>
      </w:r>
      <w:r>
        <w:fldChar w:fldCharType="end"/>
      </w:r>
      <w:bookmarkEnd w:id="9"/>
      <w:r>
        <w:rPr>
          <w:rFonts w:hint="eastAsia"/>
          <w:lang w:val="en-US" w:eastAsia="zh-CN"/>
        </w:rPr>
        <w:t>要求</w:t>
      </w:r>
    </w:p>
    <w:p w14:paraId="6563BADB">
      <w:pPr>
        <w:framePr w:w="9639" w:h="6974" w:hRule="exact" w:wrap="around" w:vAnchor="page" w:hAnchor="page" w:x="1419" w:y="6408" w:anchorLock="1"/>
        <w:ind w:left="-1418"/>
      </w:pPr>
    </w:p>
    <w:p w14:paraId="0972424E">
      <w:pPr>
        <w:pStyle w:val="126"/>
        <w:framePr w:w="9639" w:h="6974" w:hRule="exact" w:wrap="around" w:vAnchor="page" w:hAnchor="page" w:x="1419" w:y="6408" w:anchorLock="1"/>
        <w:textAlignment w:val="bottom"/>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Technical specification for health monitoring and early warning platform for inland </w:t>
      </w:r>
      <w:r>
        <w:rPr>
          <w:rFonts w:hint="eastAsia" w:eastAsia="黑体"/>
          <w:szCs w:val="28"/>
        </w:rPr>
        <w:t>water</w:t>
      </w:r>
      <w:r>
        <w:rPr>
          <w:rFonts w:eastAsia="黑体"/>
          <w:szCs w:val="28"/>
        </w:rPr>
        <w:t xml:space="preserve"> transport facilities </w:t>
      </w:r>
      <w:r>
        <w:rPr>
          <w:rFonts w:hint="eastAsia" w:eastAsia="黑体"/>
          <w:szCs w:val="28"/>
        </w:rPr>
        <w:t xml:space="preserve"> P</w:t>
      </w:r>
      <w:r>
        <w:rPr>
          <w:rFonts w:eastAsia="黑体"/>
          <w:szCs w:val="28"/>
        </w:rPr>
        <w:t>art</w:t>
      </w:r>
      <w:r>
        <w:rPr>
          <w:rFonts w:hint="eastAsia" w:eastAsia="黑体"/>
          <w:szCs w:val="28"/>
        </w:rPr>
        <w:t xml:space="preserve"> </w:t>
      </w:r>
      <w:r>
        <w:rPr>
          <w:rFonts w:hint="eastAsia" w:eastAsia="黑体"/>
          <w:szCs w:val="28"/>
          <w:lang w:val="en-US" w:eastAsia="zh-CN"/>
        </w:rPr>
        <w:t>2</w:t>
      </w:r>
      <w:r>
        <w:rPr>
          <w:rFonts w:eastAsia="黑体"/>
          <w:szCs w:val="28"/>
        </w:rPr>
        <w:t>：</w:t>
      </w:r>
      <w:r>
        <w:rPr>
          <w:rFonts w:hint="eastAsia" w:eastAsia="黑体"/>
          <w:szCs w:val="28"/>
        </w:rPr>
        <w:t>Platform technical requirements</w:t>
      </w:r>
      <w:r>
        <w:rPr>
          <w:rFonts w:eastAsia="黑体"/>
          <w:szCs w:val="28"/>
        </w:rPr>
        <w:fldChar w:fldCharType="end"/>
      </w:r>
      <w:bookmarkEnd w:id="10"/>
    </w:p>
    <w:p w14:paraId="2D9244AA">
      <w:pPr>
        <w:pStyle w:val="126"/>
        <w:framePr w:w="9639" w:h="6974" w:hRule="exact" w:wrap="around" w:vAnchor="page" w:hAnchor="page" w:x="1419" w:y="6408" w:anchorLock="1"/>
        <w:textAlignment w:val="bottom"/>
        <w:rPr>
          <w:rFonts w:eastAsia="黑体"/>
          <w:szCs w:val="28"/>
        </w:rPr>
      </w:pPr>
    </w:p>
    <w:p w14:paraId="6F74948B">
      <w:pPr>
        <w:pStyle w:val="126"/>
        <w:framePr w:w="9639" w:h="6974" w:hRule="exact" w:wrap="around" w:vAnchor="page" w:hAnchor="page" w:x="1419" w:y="6408" w:anchorLock="1"/>
        <w:spacing w:before="440" w:after="160"/>
        <w:textAlignment w:val="bottom"/>
        <w:rPr>
          <w:sz w:val="24"/>
          <w:szCs w:val="28"/>
        </w:rPr>
      </w:pPr>
      <w:bookmarkStart w:id="11" w:name="下拉1"/>
      <w:r>
        <w:rPr>
          <w:rFonts w:ascii="Times New Roman" w:hAnsi="Times New Roman" w:eastAsia="宋体" w:cs="Times New Roman"/>
          <w:sz w:val="24"/>
          <w:szCs w:val="28"/>
          <w:lang w:val="en-US" w:eastAsia="zh-CN" w:bidi="ar-SA"/>
        </w:rPr>
        <w:fldChar w:fldCharType="begin">
          <w:ffData>
            <w:name w:val="下拉1"/>
            <w:enabled/>
            <w:calcOnExit w:val="0"/>
            <w:ddList>
              <w:listEntry w:val="（征求意见稿）"/>
              <w:listEntry w:val="（工作组讨论稿）"/>
              <w:listEntry w:val="（报批稿）"/>
              <w:listEntry w:val=" "/>
              <w:listEntry w:val="草案版次选择"/>
              <w:listEntry w:val="（送审稿）"/>
              <w:listEntry w:val="（报批稿）"/>
              <w:listEntry w:val="（送审讨论稿）"/>
            </w:ddList>
          </w:ffData>
        </w:fldChar>
      </w:r>
      <w:r>
        <w:rPr>
          <w:rFonts w:ascii="Times New Roman" w:hAnsi="Times New Roman" w:eastAsia="宋体" w:cs="Times New Roman"/>
          <w:sz w:val="24"/>
          <w:szCs w:val="28"/>
          <w:lang w:val="en-US" w:eastAsia="zh-CN" w:bidi="ar-SA"/>
        </w:rPr>
        <w:instrText xml:space="preserve">FORMDROPDOWN</w:instrText>
      </w:r>
      <w:r>
        <w:rPr>
          <w:rFonts w:ascii="Times New Roman" w:hAnsi="Times New Roman" w:eastAsia="宋体" w:cs="Times New Roman"/>
          <w:sz w:val="24"/>
          <w:szCs w:val="28"/>
          <w:lang w:val="en-US" w:eastAsia="zh-CN" w:bidi="ar-SA"/>
        </w:rPr>
        <w:fldChar w:fldCharType="separate"/>
      </w:r>
      <w:r>
        <w:rPr>
          <w:rFonts w:ascii="Times New Roman" w:hAnsi="Times New Roman" w:eastAsia="宋体" w:cs="Times New Roman"/>
          <w:sz w:val="24"/>
          <w:szCs w:val="28"/>
          <w:lang w:val="en-US" w:eastAsia="zh-CN" w:bidi="ar-SA"/>
        </w:rPr>
        <w:fldChar w:fldCharType="end"/>
      </w:r>
      <w:bookmarkEnd w:id="11"/>
    </w:p>
    <w:p w14:paraId="3E7C0109">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CCD735B">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E8BF427">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44B03EE">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7F7CE81">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602887D3">
      <w:pPr>
        <w:rPr>
          <w:rFonts w:ascii="宋体" w:hAnsi="宋体"/>
          <w:sz w:val="28"/>
          <w:szCs w:val="28"/>
        </w:rPr>
        <w:sectPr>
          <w:headerReference r:id="rId7" w:type="first"/>
          <w:footerReference r:id="rId9" w:type="first"/>
          <w:headerReference r:id="rId5" w:type="default"/>
          <w:headerReference r:id="rId6" w:type="even"/>
          <w:footerReference r:id="rId8" w:type="even"/>
          <w:type w:val="continuous"/>
          <w:pgSz w:w="11906" w:h="16838"/>
          <w:pgMar w:top="-338" w:right="1134" w:bottom="1021" w:left="1134" w:header="0" w:footer="0" w:gutter="284"/>
          <w:pgBorders>
            <w:top w:val="none" w:sz="0" w:space="0"/>
            <w:left w:val="none" w:sz="0" w:space="0"/>
            <w:bottom w:val="none" w:sz="0" w:space="0"/>
            <w:right w:val="none" w:sz="0" w:space="0"/>
          </w:pgBorders>
          <w:pgNumType w:fmt="upperRoman"/>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C7447C9">
      <w:pPr>
        <w:pStyle w:val="92"/>
        <w:spacing w:after="468"/>
      </w:pPr>
      <w:bookmarkStart w:id="21" w:name="BookMark1"/>
      <w:r>
        <w:rPr>
          <w:spacing w:val="320"/>
        </w:rPr>
        <w:t>目</w:t>
      </w:r>
      <w:r>
        <w:t>次</w:t>
      </w:r>
    </w:p>
    <w:p w14:paraId="369B335B">
      <w:pPr>
        <w:pStyle w:val="20"/>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_Toc22050 </w:instrText>
      </w:r>
      <w:r>
        <w:fldChar w:fldCharType="separate"/>
      </w:r>
      <w:r>
        <w:rPr>
          <w:rFonts w:hint="eastAsia"/>
        </w:rPr>
        <w:t>前</w:t>
      </w:r>
      <w:r>
        <w:rPr>
          <w:rFonts w:hAnsi="黑体"/>
        </w:rPr>
        <w:t>  </w:t>
      </w:r>
      <w:r>
        <w:rPr>
          <w:rFonts w:hint="eastAsia"/>
        </w:rPr>
        <w:t>言</w:t>
      </w:r>
      <w:r>
        <w:tab/>
      </w:r>
      <w:r>
        <w:fldChar w:fldCharType="begin"/>
      </w:r>
      <w:r>
        <w:instrText xml:space="preserve"> PAGEREF _Toc22050 \h </w:instrText>
      </w:r>
      <w:r>
        <w:fldChar w:fldCharType="separate"/>
      </w:r>
      <w:r>
        <w:t>II</w:t>
      </w:r>
      <w:r>
        <w:fldChar w:fldCharType="end"/>
      </w:r>
      <w:r>
        <w:fldChar w:fldCharType="end"/>
      </w:r>
    </w:p>
    <w:p w14:paraId="2437C6F1">
      <w:pPr>
        <w:pStyle w:val="20"/>
        <w:tabs>
          <w:tab w:val="right" w:leader="dot" w:pos="9354"/>
        </w:tabs>
      </w:pPr>
      <w:r>
        <w:fldChar w:fldCharType="begin"/>
      </w:r>
      <w:r>
        <w:instrText xml:space="preserve"> HYPERLINK \l _Toc29626 </w:instrText>
      </w:r>
      <w:r>
        <w:fldChar w:fldCharType="separate"/>
      </w:r>
      <w:r>
        <w:rPr>
          <w:rFonts w:hint="eastAsia"/>
        </w:rPr>
        <w:t>引</w:t>
      </w:r>
      <w:r>
        <w:rPr>
          <w:rFonts w:hAnsi="黑体"/>
        </w:rPr>
        <w:t>  </w:t>
      </w:r>
      <w:r>
        <w:rPr>
          <w:rFonts w:hint="eastAsia"/>
        </w:rPr>
        <w:t>言</w:t>
      </w:r>
      <w:r>
        <w:tab/>
      </w:r>
      <w:r>
        <w:fldChar w:fldCharType="begin"/>
      </w:r>
      <w:r>
        <w:instrText xml:space="preserve"> PAGEREF _Toc29626 \h </w:instrText>
      </w:r>
      <w:r>
        <w:fldChar w:fldCharType="separate"/>
      </w:r>
      <w:r>
        <w:t>III</w:t>
      </w:r>
      <w:r>
        <w:fldChar w:fldCharType="end"/>
      </w:r>
      <w:r>
        <w:fldChar w:fldCharType="end"/>
      </w:r>
    </w:p>
    <w:p w14:paraId="7378E55E">
      <w:pPr>
        <w:pStyle w:val="20"/>
        <w:tabs>
          <w:tab w:val="right" w:leader="dot" w:pos="9354"/>
        </w:tabs>
      </w:pPr>
      <w:r>
        <w:fldChar w:fldCharType="begin"/>
      </w:r>
      <w:r>
        <w:instrText xml:space="preserve"> HYPERLINK \l _Toc20196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_Toc20196 \h </w:instrText>
      </w:r>
      <w:r>
        <w:fldChar w:fldCharType="separate"/>
      </w:r>
      <w:r>
        <w:t>1</w:t>
      </w:r>
      <w:r>
        <w:fldChar w:fldCharType="end"/>
      </w:r>
      <w:r>
        <w:fldChar w:fldCharType="end"/>
      </w:r>
    </w:p>
    <w:p w14:paraId="3409E5B3">
      <w:pPr>
        <w:pStyle w:val="20"/>
        <w:tabs>
          <w:tab w:val="right" w:leader="dot" w:pos="9354"/>
        </w:tabs>
      </w:pPr>
      <w:r>
        <w:fldChar w:fldCharType="begin"/>
      </w:r>
      <w:r>
        <w:instrText xml:space="preserve"> HYPERLINK \l _Toc5632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_Toc5632 \h </w:instrText>
      </w:r>
      <w:r>
        <w:fldChar w:fldCharType="separate"/>
      </w:r>
      <w:r>
        <w:t>1</w:t>
      </w:r>
      <w:r>
        <w:fldChar w:fldCharType="end"/>
      </w:r>
      <w:r>
        <w:fldChar w:fldCharType="end"/>
      </w:r>
    </w:p>
    <w:p w14:paraId="5BEBA44D">
      <w:pPr>
        <w:pStyle w:val="20"/>
        <w:tabs>
          <w:tab w:val="right" w:leader="dot" w:pos="9354"/>
        </w:tabs>
      </w:pPr>
      <w:r>
        <w:fldChar w:fldCharType="begin"/>
      </w:r>
      <w:r>
        <w:instrText xml:space="preserve"> HYPERLINK \l _Toc6545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_Toc6545 \h </w:instrText>
      </w:r>
      <w:r>
        <w:fldChar w:fldCharType="separate"/>
      </w:r>
      <w:r>
        <w:t>1</w:t>
      </w:r>
      <w:r>
        <w:fldChar w:fldCharType="end"/>
      </w:r>
      <w:r>
        <w:fldChar w:fldCharType="end"/>
      </w:r>
    </w:p>
    <w:p w14:paraId="1A0A618D">
      <w:pPr>
        <w:pStyle w:val="20"/>
        <w:tabs>
          <w:tab w:val="right" w:leader="dot" w:pos="9354"/>
        </w:tabs>
      </w:pPr>
      <w:r>
        <w:fldChar w:fldCharType="begin"/>
      </w:r>
      <w:r>
        <w:instrText xml:space="preserve"> HYPERLINK \l _Toc7199 </w:instrText>
      </w:r>
      <w:r>
        <w:fldChar w:fldCharType="separate"/>
      </w:r>
      <w:r>
        <w:rPr>
          <w:rFonts w:hint="eastAsia" w:ascii="黑体" w:eastAsia="黑体"/>
          <w:i w:val="0"/>
        </w:rPr>
        <w:t xml:space="preserve">4 </w:t>
      </w:r>
      <w:r>
        <w:rPr>
          <w:rFonts w:hint="eastAsia"/>
        </w:rPr>
        <w:t>基本</w:t>
      </w:r>
      <w:r>
        <w:rPr>
          <w:rFonts w:hint="eastAsia"/>
          <w:lang w:val="en-US" w:eastAsia="zh-CN"/>
        </w:rPr>
        <w:t>规定</w:t>
      </w:r>
      <w:r>
        <w:tab/>
      </w:r>
      <w:r>
        <w:fldChar w:fldCharType="begin"/>
      </w:r>
      <w:r>
        <w:instrText xml:space="preserve"> PAGEREF _Toc7199 \h </w:instrText>
      </w:r>
      <w:r>
        <w:fldChar w:fldCharType="separate"/>
      </w:r>
      <w:r>
        <w:t>2</w:t>
      </w:r>
      <w:r>
        <w:fldChar w:fldCharType="end"/>
      </w:r>
      <w:r>
        <w:fldChar w:fldCharType="end"/>
      </w:r>
    </w:p>
    <w:p w14:paraId="2701E54F">
      <w:pPr>
        <w:pStyle w:val="20"/>
        <w:tabs>
          <w:tab w:val="right" w:leader="dot" w:pos="9354"/>
        </w:tabs>
      </w:pPr>
      <w:r>
        <w:fldChar w:fldCharType="begin"/>
      </w:r>
      <w:r>
        <w:instrText xml:space="preserve"> HYPERLINK \l _Toc25829 </w:instrText>
      </w:r>
      <w:r>
        <w:fldChar w:fldCharType="separate"/>
      </w:r>
      <w:r>
        <w:rPr>
          <w:rFonts w:hint="eastAsia" w:ascii="黑体" w:eastAsia="黑体"/>
          <w:i w:val="0"/>
          <w:szCs w:val="21"/>
          <w:lang w:val="en-US" w:eastAsia="zh-CN"/>
        </w:rPr>
        <w:t xml:space="preserve">5 </w:t>
      </w:r>
      <w:r>
        <w:rPr>
          <w:rFonts w:hint="eastAsia"/>
          <w:szCs w:val="21"/>
          <w:lang w:val="en-US" w:eastAsia="zh-CN"/>
        </w:rPr>
        <w:t>实时监测</w:t>
      </w:r>
      <w:r>
        <w:tab/>
      </w:r>
      <w:r>
        <w:fldChar w:fldCharType="begin"/>
      </w:r>
      <w:r>
        <w:instrText xml:space="preserve"> PAGEREF _Toc25829 \h </w:instrText>
      </w:r>
      <w:r>
        <w:fldChar w:fldCharType="separate"/>
      </w:r>
      <w:r>
        <w:t>2</w:t>
      </w:r>
      <w:r>
        <w:fldChar w:fldCharType="end"/>
      </w:r>
      <w:r>
        <w:fldChar w:fldCharType="end"/>
      </w:r>
    </w:p>
    <w:p w14:paraId="52C710E8">
      <w:pPr>
        <w:pStyle w:val="20"/>
        <w:tabs>
          <w:tab w:val="right" w:leader="dot" w:pos="9354"/>
        </w:tabs>
      </w:pPr>
      <w:r>
        <w:fldChar w:fldCharType="begin"/>
      </w:r>
      <w:r>
        <w:instrText xml:space="preserve"> HYPERLINK \l _Toc28854 </w:instrText>
      </w:r>
      <w:r>
        <w:fldChar w:fldCharType="separate"/>
      </w:r>
      <w:r>
        <w:rPr>
          <w:rFonts w:hint="eastAsia" w:ascii="黑体" w:eastAsia="黑体"/>
          <w:i w:val="0"/>
          <w:szCs w:val="21"/>
          <w:lang w:val="en-US" w:eastAsia="zh-CN"/>
        </w:rPr>
        <w:t xml:space="preserve">6 </w:t>
      </w:r>
      <w:r>
        <w:rPr>
          <w:rFonts w:hint="eastAsia"/>
          <w:szCs w:val="21"/>
          <w:lang w:val="en-US" w:eastAsia="zh-CN"/>
        </w:rPr>
        <w:t>数据分析</w:t>
      </w:r>
      <w:r>
        <w:tab/>
      </w:r>
      <w:r>
        <w:fldChar w:fldCharType="begin"/>
      </w:r>
      <w:r>
        <w:instrText xml:space="preserve"> PAGEREF _Toc28854 \h </w:instrText>
      </w:r>
      <w:r>
        <w:fldChar w:fldCharType="separate"/>
      </w:r>
      <w:r>
        <w:t>2</w:t>
      </w:r>
      <w:r>
        <w:fldChar w:fldCharType="end"/>
      </w:r>
      <w:r>
        <w:fldChar w:fldCharType="end"/>
      </w:r>
    </w:p>
    <w:p w14:paraId="6E022E9E">
      <w:pPr>
        <w:pStyle w:val="25"/>
        <w:tabs>
          <w:tab w:val="right" w:leader="dot" w:pos="9354"/>
          <w:tab w:val="clear" w:pos="9344"/>
        </w:tabs>
      </w:pPr>
      <w:r>
        <w:fldChar w:fldCharType="begin"/>
      </w:r>
      <w:r>
        <w:instrText xml:space="preserve"> HYPERLINK \l _Toc21643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 </w:t>
      </w:r>
      <w:r>
        <w:rPr>
          <w:rFonts w:hint="eastAsia"/>
          <w:lang w:val="en-US" w:eastAsia="zh-CN"/>
        </w:rPr>
        <w:t>一般规定</w:t>
      </w:r>
      <w:r>
        <w:tab/>
      </w:r>
      <w:r>
        <w:fldChar w:fldCharType="begin"/>
      </w:r>
      <w:r>
        <w:instrText xml:space="preserve"> PAGEREF _Toc21643 \h </w:instrText>
      </w:r>
      <w:r>
        <w:fldChar w:fldCharType="separate"/>
      </w:r>
      <w:r>
        <w:t>2</w:t>
      </w:r>
      <w:r>
        <w:fldChar w:fldCharType="end"/>
      </w:r>
      <w:r>
        <w:fldChar w:fldCharType="end"/>
      </w:r>
    </w:p>
    <w:p w14:paraId="3396B85E">
      <w:pPr>
        <w:pStyle w:val="25"/>
        <w:tabs>
          <w:tab w:val="right" w:leader="dot" w:pos="9354"/>
          <w:tab w:val="clear" w:pos="9344"/>
        </w:tabs>
      </w:pPr>
      <w:r>
        <w:fldChar w:fldCharType="begin"/>
      </w:r>
      <w:r>
        <w:instrText xml:space="preserve"> HYPERLINK \l _Toc9763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6.2 </w:t>
      </w:r>
      <w:r>
        <w:rPr>
          <w:rFonts w:hint="eastAsia"/>
          <w:lang w:val="en-US" w:eastAsia="zh-CN"/>
        </w:rPr>
        <w:t>阈值管理</w:t>
      </w:r>
      <w:r>
        <w:tab/>
      </w:r>
      <w:r>
        <w:fldChar w:fldCharType="begin"/>
      </w:r>
      <w:r>
        <w:instrText xml:space="preserve"> PAGEREF _Toc9763 \h </w:instrText>
      </w:r>
      <w:r>
        <w:fldChar w:fldCharType="separate"/>
      </w:r>
      <w:r>
        <w:t>2</w:t>
      </w:r>
      <w:r>
        <w:fldChar w:fldCharType="end"/>
      </w:r>
      <w:r>
        <w:fldChar w:fldCharType="end"/>
      </w:r>
    </w:p>
    <w:p w14:paraId="3715B4EC">
      <w:pPr>
        <w:pStyle w:val="25"/>
        <w:tabs>
          <w:tab w:val="right" w:leader="dot" w:pos="9354"/>
          <w:tab w:val="clear" w:pos="9344"/>
        </w:tabs>
      </w:pPr>
      <w:r>
        <w:fldChar w:fldCharType="begin"/>
      </w:r>
      <w:r>
        <w:instrText xml:space="preserve"> HYPERLINK \l _Toc16707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6.3 </w:t>
      </w:r>
      <w:r>
        <w:rPr>
          <w:rFonts w:hint="eastAsia"/>
          <w:lang w:val="en-US" w:eastAsia="zh-CN"/>
        </w:rPr>
        <w:t>船闸数据分析</w:t>
      </w:r>
      <w:r>
        <w:tab/>
      </w:r>
      <w:r>
        <w:fldChar w:fldCharType="begin"/>
      </w:r>
      <w:r>
        <w:instrText xml:space="preserve"> PAGEREF _Toc16707 \h </w:instrText>
      </w:r>
      <w:r>
        <w:fldChar w:fldCharType="separate"/>
      </w:r>
      <w:r>
        <w:t>3</w:t>
      </w:r>
      <w:r>
        <w:fldChar w:fldCharType="end"/>
      </w:r>
      <w:r>
        <w:fldChar w:fldCharType="end"/>
      </w:r>
    </w:p>
    <w:p w14:paraId="2A7540DD">
      <w:pPr>
        <w:pStyle w:val="25"/>
        <w:tabs>
          <w:tab w:val="right" w:leader="dot" w:pos="9354"/>
          <w:tab w:val="clear" w:pos="9344"/>
        </w:tabs>
      </w:pPr>
      <w:r>
        <w:fldChar w:fldCharType="begin"/>
      </w:r>
      <w:r>
        <w:instrText xml:space="preserve"> HYPERLINK \l _Toc27290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6.4 </w:t>
      </w:r>
      <w:r>
        <w:rPr>
          <w:rFonts w:hint="eastAsia"/>
          <w:lang w:val="en-US" w:eastAsia="zh-CN"/>
        </w:rPr>
        <w:t>码头数据分析</w:t>
      </w:r>
      <w:r>
        <w:tab/>
      </w:r>
      <w:r>
        <w:fldChar w:fldCharType="begin"/>
      </w:r>
      <w:r>
        <w:instrText xml:space="preserve"> PAGEREF _Toc27290 \h </w:instrText>
      </w:r>
      <w:r>
        <w:fldChar w:fldCharType="separate"/>
      </w:r>
      <w:r>
        <w:t>3</w:t>
      </w:r>
      <w:r>
        <w:fldChar w:fldCharType="end"/>
      </w:r>
      <w:r>
        <w:fldChar w:fldCharType="end"/>
      </w:r>
    </w:p>
    <w:p w14:paraId="5B67C06A">
      <w:pPr>
        <w:pStyle w:val="25"/>
        <w:tabs>
          <w:tab w:val="right" w:leader="dot" w:pos="9354"/>
          <w:tab w:val="clear" w:pos="9344"/>
        </w:tabs>
      </w:pPr>
      <w:r>
        <w:fldChar w:fldCharType="begin"/>
      </w:r>
      <w:r>
        <w:instrText xml:space="preserve"> HYPERLINK \l _Toc16157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6.5 </w:t>
      </w:r>
      <w:r>
        <w:rPr>
          <w:rFonts w:hint="eastAsia"/>
          <w:lang w:val="en-US" w:eastAsia="zh-CN"/>
        </w:rPr>
        <w:t>跨闸桥梁数据分析</w:t>
      </w:r>
      <w:r>
        <w:tab/>
      </w:r>
      <w:r>
        <w:fldChar w:fldCharType="begin"/>
      </w:r>
      <w:r>
        <w:instrText xml:space="preserve"> PAGEREF _Toc16157 \h </w:instrText>
      </w:r>
      <w:r>
        <w:fldChar w:fldCharType="separate"/>
      </w:r>
      <w:r>
        <w:t>3</w:t>
      </w:r>
      <w:r>
        <w:fldChar w:fldCharType="end"/>
      </w:r>
      <w:r>
        <w:fldChar w:fldCharType="end"/>
      </w:r>
    </w:p>
    <w:p w14:paraId="5D197F05">
      <w:pPr>
        <w:pStyle w:val="20"/>
        <w:tabs>
          <w:tab w:val="right" w:leader="dot" w:pos="9354"/>
        </w:tabs>
      </w:pPr>
      <w:r>
        <w:fldChar w:fldCharType="begin"/>
      </w:r>
      <w:r>
        <w:instrText xml:space="preserve"> HYPERLINK \l _Toc19952 </w:instrText>
      </w:r>
      <w:r>
        <w:fldChar w:fldCharType="separate"/>
      </w:r>
      <w:r>
        <w:rPr>
          <w:rFonts w:hint="eastAsia" w:ascii="黑体" w:eastAsia="黑体"/>
          <w:i w:val="0"/>
          <w:szCs w:val="21"/>
          <w:lang w:val="en-US" w:eastAsia="zh-CN"/>
        </w:rPr>
        <w:t xml:space="preserve">7 </w:t>
      </w:r>
      <w:r>
        <w:rPr>
          <w:rFonts w:hint="eastAsia"/>
          <w:szCs w:val="21"/>
          <w:lang w:val="en-US" w:eastAsia="zh-CN"/>
        </w:rPr>
        <w:t>预警管理</w:t>
      </w:r>
      <w:r>
        <w:tab/>
      </w:r>
      <w:r>
        <w:fldChar w:fldCharType="begin"/>
      </w:r>
      <w:r>
        <w:instrText xml:space="preserve"> PAGEREF _Toc19952 \h </w:instrText>
      </w:r>
      <w:r>
        <w:fldChar w:fldCharType="separate"/>
      </w:r>
      <w:r>
        <w:t>3</w:t>
      </w:r>
      <w:r>
        <w:fldChar w:fldCharType="end"/>
      </w:r>
      <w:r>
        <w:fldChar w:fldCharType="end"/>
      </w:r>
    </w:p>
    <w:p w14:paraId="24B71C7E">
      <w:pPr>
        <w:pStyle w:val="25"/>
        <w:tabs>
          <w:tab w:val="right" w:leader="dot" w:pos="9354"/>
          <w:tab w:val="clear" w:pos="9344"/>
        </w:tabs>
      </w:pPr>
      <w:r>
        <w:fldChar w:fldCharType="begin"/>
      </w:r>
      <w:r>
        <w:instrText xml:space="preserve"> HYPERLINK \l _Toc17043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7.1 </w:t>
      </w:r>
      <w:r>
        <w:rPr>
          <w:rFonts w:hint="eastAsia"/>
          <w:lang w:val="en-US" w:eastAsia="zh-CN"/>
        </w:rPr>
        <w:t>一般规定</w:t>
      </w:r>
      <w:r>
        <w:tab/>
      </w:r>
      <w:r>
        <w:fldChar w:fldCharType="begin"/>
      </w:r>
      <w:r>
        <w:instrText xml:space="preserve"> PAGEREF _Toc17043 \h </w:instrText>
      </w:r>
      <w:r>
        <w:fldChar w:fldCharType="separate"/>
      </w:r>
      <w:r>
        <w:t>3</w:t>
      </w:r>
      <w:r>
        <w:fldChar w:fldCharType="end"/>
      </w:r>
      <w:r>
        <w:fldChar w:fldCharType="end"/>
      </w:r>
    </w:p>
    <w:p w14:paraId="29E9220D">
      <w:pPr>
        <w:pStyle w:val="25"/>
        <w:tabs>
          <w:tab w:val="right" w:leader="dot" w:pos="9354"/>
          <w:tab w:val="clear" w:pos="9344"/>
        </w:tabs>
      </w:pPr>
      <w:r>
        <w:fldChar w:fldCharType="begin"/>
      </w:r>
      <w:r>
        <w:instrText xml:space="preserve"> HYPERLINK \l _Toc28355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7.2 </w:t>
      </w:r>
      <w:r>
        <w:rPr>
          <w:rFonts w:hint="eastAsia"/>
          <w:lang w:val="en-US" w:eastAsia="zh-CN"/>
        </w:rPr>
        <w:t>预警等级管理</w:t>
      </w:r>
      <w:r>
        <w:tab/>
      </w:r>
      <w:r>
        <w:fldChar w:fldCharType="begin"/>
      </w:r>
      <w:r>
        <w:instrText xml:space="preserve"> PAGEREF _Toc28355 \h </w:instrText>
      </w:r>
      <w:r>
        <w:fldChar w:fldCharType="separate"/>
      </w:r>
      <w:r>
        <w:t>3</w:t>
      </w:r>
      <w:r>
        <w:fldChar w:fldCharType="end"/>
      </w:r>
      <w:r>
        <w:fldChar w:fldCharType="end"/>
      </w:r>
    </w:p>
    <w:p w14:paraId="6AA7F990">
      <w:pPr>
        <w:pStyle w:val="25"/>
        <w:tabs>
          <w:tab w:val="right" w:leader="dot" w:pos="9354"/>
          <w:tab w:val="clear" w:pos="9344"/>
        </w:tabs>
      </w:pPr>
      <w:r>
        <w:fldChar w:fldCharType="begin"/>
      </w:r>
      <w:r>
        <w:instrText xml:space="preserve"> HYPERLINK \l _Toc17302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7.3 </w:t>
      </w:r>
      <w:r>
        <w:rPr>
          <w:rFonts w:hint="eastAsia"/>
          <w:lang w:val="en-US" w:eastAsia="zh-CN"/>
        </w:rPr>
        <w:t>预警发布管理</w:t>
      </w:r>
      <w:r>
        <w:tab/>
      </w:r>
      <w:r>
        <w:fldChar w:fldCharType="begin"/>
      </w:r>
      <w:r>
        <w:instrText xml:space="preserve"> PAGEREF _Toc17302 \h </w:instrText>
      </w:r>
      <w:r>
        <w:fldChar w:fldCharType="separate"/>
      </w:r>
      <w:r>
        <w:t>4</w:t>
      </w:r>
      <w:r>
        <w:fldChar w:fldCharType="end"/>
      </w:r>
      <w:r>
        <w:fldChar w:fldCharType="end"/>
      </w:r>
    </w:p>
    <w:p w14:paraId="27F8769C">
      <w:pPr>
        <w:pStyle w:val="25"/>
        <w:tabs>
          <w:tab w:val="right" w:leader="dot" w:pos="9354"/>
          <w:tab w:val="clear" w:pos="9344"/>
        </w:tabs>
      </w:pPr>
      <w:r>
        <w:fldChar w:fldCharType="begin"/>
      </w:r>
      <w:r>
        <w:instrText xml:space="preserve"> HYPERLINK \l _Toc4585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7.4 </w:t>
      </w:r>
      <w:r>
        <w:rPr>
          <w:rFonts w:hint="eastAsia"/>
          <w:lang w:val="en-US" w:eastAsia="zh-CN"/>
        </w:rPr>
        <w:t>评估决策</w:t>
      </w:r>
      <w:r>
        <w:tab/>
      </w:r>
      <w:r>
        <w:fldChar w:fldCharType="begin"/>
      </w:r>
      <w:r>
        <w:instrText xml:space="preserve"> PAGEREF _Toc4585 \h </w:instrText>
      </w:r>
      <w:r>
        <w:fldChar w:fldCharType="separate"/>
      </w:r>
      <w:r>
        <w:t>4</w:t>
      </w:r>
      <w:r>
        <w:fldChar w:fldCharType="end"/>
      </w:r>
      <w:r>
        <w:fldChar w:fldCharType="end"/>
      </w:r>
    </w:p>
    <w:p w14:paraId="0C256225">
      <w:pPr>
        <w:pStyle w:val="20"/>
        <w:tabs>
          <w:tab w:val="right" w:leader="dot" w:pos="9354"/>
        </w:tabs>
      </w:pPr>
      <w:r>
        <w:fldChar w:fldCharType="begin"/>
      </w:r>
      <w:r>
        <w:instrText xml:space="preserve"> HYPERLINK \l _Toc30141 </w:instrText>
      </w:r>
      <w:r>
        <w:fldChar w:fldCharType="separate"/>
      </w:r>
      <w:r>
        <w:rPr>
          <w:rFonts w:hint="eastAsia" w:ascii="黑体" w:eastAsia="黑体"/>
          <w:i w:val="0"/>
          <w:szCs w:val="21"/>
          <w:lang w:val="en-US" w:eastAsia="zh-CN"/>
        </w:rPr>
        <w:t xml:space="preserve">8 </w:t>
      </w:r>
      <w:r>
        <w:rPr>
          <w:rFonts w:hint="eastAsia"/>
          <w:szCs w:val="21"/>
          <w:lang w:val="en-US" w:eastAsia="zh-CN"/>
        </w:rPr>
        <w:t>应急处置</w:t>
      </w:r>
      <w:r>
        <w:tab/>
      </w:r>
      <w:r>
        <w:fldChar w:fldCharType="begin"/>
      </w:r>
      <w:r>
        <w:instrText xml:space="preserve"> PAGEREF _Toc30141 \h </w:instrText>
      </w:r>
      <w:r>
        <w:fldChar w:fldCharType="separate"/>
      </w:r>
      <w:r>
        <w:t>5</w:t>
      </w:r>
      <w:r>
        <w:fldChar w:fldCharType="end"/>
      </w:r>
      <w:r>
        <w:fldChar w:fldCharType="end"/>
      </w:r>
    </w:p>
    <w:p w14:paraId="050D9DAE">
      <w:pPr>
        <w:pStyle w:val="20"/>
        <w:tabs>
          <w:tab w:val="right" w:leader="dot" w:pos="9354"/>
        </w:tabs>
      </w:pPr>
      <w:r>
        <w:fldChar w:fldCharType="begin"/>
      </w:r>
      <w:r>
        <w:instrText xml:space="preserve"> HYPERLINK \l _Toc32330 </w:instrText>
      </w:r>
      <w:r>
        <w:fldChar w:fldCharType="separate"/>
      </w:r>
      <w:r>
        <w:rPr>
          <w:rFonts w:hint="eastAsia" w:ascii="黑体" w:eastAsia="黑体"/>
          <w:i w:val="0"/>
          <w:lang w:val="en-US" w:eastAsia="zh-CN"/>
        </w:rPr>
        <w:t xml:space="preserve">9 </w:t>
      </w:r>
      <w:r>
        <w:rPr>
          <w:rFonts w:hint="eastAsia"/>
          <w:lang w:val="en-US" w:eastAsia="zh-CN"/>
        </w:rPr>
        <w:t>数据管理</w:t>
      </w:r>
      <w:r>
        <w:tab/>
      </w:r>
      <w:r>
        <w:fldChar w:fldCharType="begin"/>
      </w:r>
      <w:r>
        <w:instrText xml:space="preserve"> PAGEREF _Toc32330 \h </w:instrText>
      </w:r>
      <w:r>
        <w:fldChar w:fldCharType="separate"/>
      </w:r>
      <w:r>
        <w:t>5</w:t>
      </w:r>
      <w:r>
        <w:fldChar w:fldCharType="end"/>
      </w:r>
      <w:r>
        <w:fldChar w:fldCharType="end"/>
      </w:r>
    </w:p>
    <w:p w14:paraId="4AAB2186">
      <w:pPr>
        <w:pStyle w:val="25"/>
        <w:tabs>
          <w:tab w:val="right" w:leader="dot" w:pos="9354"/>
          <w:tab w:val="clear" w:pos="9344"/>
        </w:tabs>
      </w:pPr>
      <w:r>
        <w:fldChar w:fldCharType="begin"/>
      </w:r>
      <w:r>
        <w:instrText xml:space="preserve"> HYPERLINK \l _Toc10043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9.1 </w:t>
      </w:r>
      <w:r>
        <w:rPr>
          <w:rFonts w:hint="eastAsia"/>
          <w:lang w:val="en-US" w:eastAsia="zh-CN"/>
        </w:rPr>
        <w:t>数据预处理</w:t>
      </w:r>
      <w:r>
        <w:tab/>
      </w:r>
      <w:r>
        <w:fldChar w:fldCharType="begin"/>
      </w:r>
      <w:r>
        <w:instrText xml:space="preserve"> PAGEREF _Toc10043 \h </w:instrText>
      </w:r>
      <w:r>
        <w:fldChar w:fldCharType="separate"/>
      </w:r>
      <w:r>
        <w:t>5</w:t>
      </w:r>
      <w:r>
        <w:fldChar w:fldCharType="end"/>
      </w:r>
      <w:r>
        <w:fldChar w:fldCharType="end"/>
      </w:r>
    </w:p>
    <w:p w14:paraId="0D9AC40E">
      <w:pPr>
        <w:pStyle w:val="25"/>
        <w:tabs>
          <w:tab w:val="right" w:leader="dot" w:pos="9354"/>
          <w:tab w:val="clear" w:pos="9344"/>
        </w:tabs>
      </w:pPr>
      <w:r>
        <w:fldChar w:fldCharType="begin"/>
      </w:r>
      <w:r>
        <w:instrText xml:space="preserve"> HYPERLINK \l _Toc2190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9.2 </w:t>
      </w:r>
      <w:r>
        <w:rPr>
          <w:rFonts w:hint="eastAsia"/>
          <w:lang w:val="en-US" w:eastAsia="zh-CN"/>
        </w:rPr>
        <w:t>数据存储</w:t>
      </w:r>
      <w:r>
        <w:tab/>
      </w:r>
      <w:r>
        <w:fldChar w:fldCharType="begin"/>
      </w:r>
      <w:r>
        <w:instrText xml:space="preserve"> PAGEREF _Toc2190 \h </w:instrText>
      </w:r>
      <w:r>
        <w:fldChar w:fldCharType="separate"/>
      </w:r>
      <w:r>
        <w:t>5</w:t>
      </w:r>
      <w:r>
        <w:fldChar w:fldCharType="end"/>
      </w:r>
      <w:r>
        <w:fldChar w:fldCharType="end"/>
      </w:r>
    </w:p>
    <w:p w14:paraId="7C6E010C">
      <w:pPr>
        <w:pStyle w:val="25"/>
        <w:tabs>
          <w:tab w:val="right" w:leader="dot" w:pos="9354"/>
          <w:tab w:val="clear" w:pos="9344"/>
        </w:tabs>
      </w:pPr>
      <w:r>
        <w:fldChar w:fldCharType="begin"/>
      </w:r>
      <w:r>
        <w:instrText xml:space="preserve"> HYPERLINK \l _Toc9295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9.3 </w:t>
      </w:r>
      <w:r>
        <w:rPr>
          <w:rFonts w:hint="eastAsia"/>
          <w:lang w:val="en-US" w:eastAsia="zh-CN"/>
        </w:rPr>
        <w:t>数据呈现</w:t>
      </w:r>
      <w:r>
        <w:tab/>
      </w:r>
      <w:r>
        <w:fldChar w:fldCharType="begin"/>
      </w:r>
      <w:r>
        <w:instrText xml:space="preserve"> PAGEREF _Toc9295 \h </w:instrText>
      </w:r>
      <w:r>
        <w:fldChar w:fldCharType="separate"/>
      </w:r>
      <w:r>
        <w:t>6</w:t>
      </w:r>
      <w:r>
        <w:fldChar w:fldCharType="end"/>
      </w:r>
      <w:r>
        <w:fldChar w:fldCharType="end"/>
      </w:r>
    </w:p>
    <w:p w14:paraId="25337464">
      <w:pPr>
        <w:pStyle w:val="25"/>
        <w:tabs>
          <w:tab w:val="right" w:leader="dot" w:pos="9354"/>
          <w:tab w:val="clear" w:pos="9344"/>
        </w:tabs>
      </w:pPr>
      <w:r>
        <w:fldChar w:fldCharType="begin"/>
      </w:r>
      <w:r>
        <w:instrText xml:space="preserve"> HYPERLINK \l _Toc21838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9.4 </w:t>
      </w:r>
      <w:r>
        <w:rPr>
          <w:rFonts w:hint="default"/>
          <w:lang w:val="en-US" w:eastAsia="zh-CN"/>
        </w:rPr>
        <w:t>数据交换</w:t>
      </w:r>
      <w:r>
        <w:tab/>
      </w:r>
      <w:r>
        <w:fldChar w:fldCharType="begin"/>
      </w:r>
      <w:r>
        <w:instrText xml:space="preserve"> PAGEREF _Toc21838 \h </w:instrText>
      </w:r>
      <w:r>
        <w:fldChar w:fldCharType="separate"/>
      </w:r>
      <w:r>
        <w:t>6</w:t>
      </w:r>
      <w:r>
        <w:fldChar w:fldCharType="end"/>
      </w:r>
      <w:r>
        <w:fldChar w:fldCharType="end"/>
      </w:r>
    </w:p>
    <w:p w14:paraId="279EB109">
      <w:pPr>
        <w:pStyle w:val="25"/>
        <w:tabs>
          <w:tab w:val="right" w:leader="dot" w:pos="9354"/>
          <w:tab w:val="clear" w:pos="9344"/>
        </w:tabs>
      </w:pPr>
      <w:r>
        <w:fldChar w:fldCharType="begin"/>
      </w:r>
      <w:r>
        <w:instrText xml:space="preserve"> HYPERLINK \l _Toc11068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9.5 </w:t>
      </w:r>
      <w:r>
        <w:rPr>
          <w:rFonts w:hint="eastAsia"/>
          <w:lang w:val="en-US" w:eastAsia="zh-CN"/>
        </w:rPr>
        <w:t>数据质量</w:t>
      </w:r>
      <w:r>
        <w:tab/>
      </w:r>
      <w:r>
        <w:fldChar w:fldCharType="begin"/>
      </w:r>
      <w:r>
        <w:instrText xml:space="preserve"> PAGEREF _Toc11068 \h </w:instrText>
      </w:r>
      <w:r>
        <w:fldChar w:fldCharType="separate"/>
      </w:r>
      <w:r>
        <w:t>6</w:t>
      </w:r>
      <w:r>
        <w:fldChar w:fldCharType="end"/>
      </w:r>
      <w:r>
        <w:fldChar w:fldCharType="end"/>
      </w:r>
    </w:p>
    <w:p w14:paraId="4F92CE2C">
      <w:pPr>
        <w:pStyle w:val="25"/>
        <w:tabs>
          <w:tab w:val="right" w:leader="dot" w:pos="9354"/>
          <w:tab w:val="clear" w:pos="9344"/>
        </w:tabs>
      </w:pPr>
      <w:r>
        <w:fldChar w:fldCharType="begin"/>
      </w:r>
      <w:r>
        <w:instrText xml:space="preserve"> HYPERLINK \l _Toc19872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9.6 </w:t>
      </w:r>
      <w:r>
        <w:rPr>
          <w:rFonts w:hint="eastAsia"/>
          <w:lang w:val="en-US" w:eastAsia="zh-CN"/>
        </w:rPr>
        <w:t>数据安全</w:t>
      </w:r>
      <w:r>
        <w:tab/>
      </w:r>
      <w:r>
        <w:fldChar w:fldCharType="begin"/>
      </w:r>
      <w:r>
        <w:instrText xml:space="preserve"> PAGEREF _Toc19872 \h </w:instrText>
      </w:r>
      <w:r>
        <w:fldChar w:fldCharType="separate"/>
      </w:r>
      <w:r>
        <w:t>6</w:t>
      </w:r>
      <w:r>
        <w:fldChar w:fldCharType="end"/>
      </w:r>
      <w:r>
        <w:fldChar w:fldCharType="end"/>
      </w:r>
    </w:p>
    <w:p w14:paraId="472CF43B">
      <w:pPr>
        <w:pStyle w:val="20"/>
        <w:tabs>
          <w:tab w:val="right" w:leader="dot" w:pos="9354"/>
        </w:tabs>
      </w:pPr>
      <w:r>
        <w:fldChar w:fldCharType="begin"/>
      </w:r>
      <w:r>
        <w:instrText xml:space="preserve"> HYPERLINK \l _Toc7447 </w:instrText>
      </w:r>
      <w:r>
        <w:fldChar w:fldCharType="separate"/>
      </w:r>
      <w:r>
        <w:rPr>
          <w:rFonts w:hint="eastAsia"/>
          <w:spacing w:val="100"/>
        </w:rPr>
        <w:t xml:space="preserve">附录A </w:t>
      </w:r>
      <w:r>
        <w:t xml:space="preserve"> </w:t>
      </w:r>
      <w:r>
        <w:rPr>
          <w:rFonts w:hint="eastAsia"/>
        </w:rPr>
        <w:t>（规范性）</w:t>
      </w:r>
      <w:r>
        <w:t xml:space="preserve"> </w:t>
      </w:r>
      <w:r>
        <w:rPr>
          <w:rFonts w:hint="eastAsia" w:ascii="黑体" w:hAnsi="宋体" w:eastAsia="黑体" w:cs="黑体"/>
          <w:kern w:val="0"/>
          <w:szCs w:val="21"/>
          <w:lang w:val="en-US" w:eastAsia="zh-CN" w:bidi="ar"/>
        </w:rPr>
        <w:t>内河水运设施</w:t>
      </w:r>
      <w:r>
        <w:rPr>
          <w:rFonts w:hint="eastAsia" w:hAnsi="宋体" w:cs="黑体"/>
          <w:kern w:val="0"/>
          <w:szCs w:val="21"/>
          <w:lang w:val="en-US" w:eastAsia="zh-CN" w:bidi="ar"/>
        </w:rPr>
        <w:t>健康</w:t>
      </w:r>
      <w:r>
        <w:rPr>
          <w:rFonts w:hint="eastAsia"/>
          <w:lang w:val="en-US" w:eastAsia="zh-CN"/>
        </w:rPr>
        <w:t>监测与预警项目级平台分类</w:t>
      </w:r>
      <w:r>
        <w:tab/>
      </w:r>
      <w:r>
        <w:fldChar w:fldCharType="begin"/>
      </w:r>
      <w:r>
        <w:instrText xml:space="preserve"> PAGEREF _Toc7447 \h </w:instrText>
      </w:r>
      <w:r>
        <w:fldChar w:fldCharType="separate"/>
      </w:r>
      <w:r>
        <w:t>7</w:t>
      </w:r>
      <w:r>
        <w:fldChar w:fldCharType="end"/>
      </w:r>
      <w:r>
        <w:fldChar w:fldCharType="end"/>
      </w:r>
    </w:p>
    <w:p w14:paraId="0761DC78">
      <w:pPr>
        <w:pStyle w:val="20"/>
        <w:tabs>
          <w:tab w:val="right" w:leader="dot" w:pos="9354"/>
        </w:tabs>
      </w:pPr>
      <w:r>
        <w:fldChar w:fldCharType="begin"/>
      </w:r>
      <w:r>
        <w:instrText xml:space="preserve"> HYPERLINK \l _Toc24891 </w:instrText>
      </w:r>
      <w:r>
        <w:fldChar w:fldCharType="separate"/>
      </w:r>
      <w:r>
        <w:rPr>
          <w:rFonts w:hint="eastAsia"/>
          <w:spacing w:val="100"/>
        </w:rPr>
        <w:t xml:space="preserve">附录B </w:t>
      </w:r>
      <w:r>
        <w:t xml:space="preserve"> </w:t>
      </w:r>
      <w:r>
        <w:rPr>
          <w:rFonts w:hint="eastAsia"/>
        </w:rPr>
        <w:t>（规范性）</w:t>
      </w:r>
      <w:r>
        <w:t xml:space="preserve"> </w:t>
      </w:r>
      <w:r>
        <w:rPr>
          <w:rFonts w:hint="eastAsia" w:hAnsi="宋体" w:cs="黑体"/>
          <w:kern w:val="0"/>
          <w:szCs w:val="21"/>
          <w:lang w:val="en-US" w:eastAsia="zh-CN" w:bidi="ar"/>
        </w:rPr>
        <w:t>船闸健康</w:t>
      </w:r>
      <w:r>
        <w:rPr>
          <w:rFonts w:hint="eastAsia"/>
          <w:lang w:val="en-US" w:eastAsia="zh-CN"/>
        </w:rPr>
        <w:t>监测与预警常见特征指标超限初始阈值</w:t>
      </w:r>
      <w:r>
        <w:tab/>
      </w:r>
      <w:r>
        <w:fldChar w:fldCharType="begin"/>
      </w:r>
      <w:r>
        <w:instrText xml:space="preserve"> PAGEREF _Toc24891 \h </w:instrText>
      </w:r>
      <w:r>
        <w:fldChar w:fldCharType="separate"/>
      </w:r>
      <w:r>
        <w:t>8</w:t>
      </w:r>
      <w:r>
        <w:fldChar w:fldCharType="end"/>
      </w:r>
      <w:r>
        <w:fldChar w:fldCharType="end"/>
      </w:r>
    </w:p>
    <w:p w14:paraId="66A42A9D">
      <w:pPr>
        <w:pStyle w:val="20"/>
        <w:tabs>
          <w:tab w:val="right" w:leader="dot" w:pos="9354"/>
        </w:tabs>
      </w:pPr>
      <w:r>
        <w:fldChar w:fldCharType="begin"/>
      </w:r>
      <w:r>
        <w:instrText xml:space="preserve"> HYPERLINK \l _Toc14823 </w:instrText>
      </w:r>
      <w:r>
        <w:fldChar w:fldCharType="separate"/>
      </w:r>
      <w:r>
        <w:rPr>
          <w:rFonts w:hint="eastAsia"/>
          <w:spacing w:val="100"/>
        </w:rPr>
        <w:t xml:space="preserve">附录C </w:t>
      </w:r>
      <w:r>
        <w:t xml:space="preserve"> </w:t>
      </w:r>
      <w:r>
        <w:rPr>
          <w:rFonts w:hint="eastAsia"/>
        </w:rPr>
        <w:t>（规范性）</w:t>
      </w:r>
      <w:r>
        <w:t xml:space="preserve"> </w:t>
      </w:r>
      <w:r>
        <w:rPr>
          <w:rFonts w:hint="eastAsia" w:hAnsi="宋体" w:cs="黑体"/>
          <w:kern w:val="0"/>
          <w:szCs w:val="21"/>
          <w:lang w:val="en-US" w:eastAsia="zh-CN" w:bidi="ar"/>
        </w:rPr>
        <w:t>码头健康</w:t>
      </w:r>
      <w:r>
        <w:rPr>
          <w:rFonts w:hint="eastAsia"/>
          <w:lang w:val="en-US" w:eastAsia="zh-CN"/>
        </w:rPr>
        <w:t>监测与预警常见特征指标超限初始阈值</w:t>
      </w:r>
      <w:r>
        <w:tab/>
      </w:r>
      <w:r>
        <w:fldChar w:fldCharType="begin"/>
      </w:r>
      <w:r>
        <w:instrText xml:space="preserve"> PAGEREF _Toc14823 \h </w:instrText>
      </w:r>
      <w:r>
        <w:fldChar w:fldCharType="separate"/>
      </w:r>
      <w:r>
        <w:t>9</w:t>
      </w:r>
      <w:r>
        <w:fldChar w:fldCharType="end"/>
      </w:r>
      <w:r>
        <w:fldChar w:fldCharType="end"/>
      </w:r>
    </w:p>
    <w:p w14:paraId="2B4C2152">
      <w:pPr>
        <w:pStyle w:val="20"/>
        <w:tabs>
          <w:tab w:val="right" w:leader="dot" w:pos="9354"/>
        </w:tabs>
      </w:pPr>
      <w:r>
        <w:fldChar w:fldCharType="begin"/>
      </w:r>
      <w:r>
        <w:instrText xml:space="preserve"> HYPERLINK \l _Toc19078 </w:instrText>
      </w:r>
      <w:r>
        <w:fldChar w:fldCharType="separate"/>
      </w:r>
      <w:r>
        <w:rPr>
          <w:rFonts w:hint="eastAsia"/>
          <w:spacing w:val="100"/>
        </w:rPr>
        <w:t xml:space="preserve">附录D </w:t>
      </w:r>
      <w:r>
        <w:t xml:space="preserve"> </w:t>
      </w:r>
      <w:r>
        <w:rPr>
          <w:rFonts w:hint="eastAsia"/>
        </w:rPr>
        <w:t>（规范性）</w:t>
      </w:r>
      <w:r>
        <w:t xml:space="preserve"> </w:t>
      </w:r>
      <w:r>
        <w:rPr>
          <w:rFonts w:hint="eastAsia" w:hAnsi="宋体" w:cs="黑体"/>
          <w:kern w:val="0"/>
          <w:szCs w:val="21"/>
          <w:lang w:val="en-US" w:eastAsia="zh-CN" w:bidi="ar"/>
        </w:rPr>
        <w:t>跨闸桥梁健康</w:t>
      </w:r>
      <w:r>
        <w:rPr>
          <w:rFonts w:hint="eastAsia"/>
          <w:lang w:val="en-US" w:eastAsia="zh-CN"/>
        </w:rPr>
        <w:t>监测与预警常见特征指标超限初始阈值</w:t>
      </w:r>
      <w:r>
        <w:tab/>
      </w:r>
      <w:r>
        <w:fldChar w:fldCharType="begin"/>
      </w:r>
      <w:r>
        <w:instrText xml:space="preserve"> PAGEREF _Toc19078 \h </w:instrText>
      </w:r>
      <w:r>
        <w:fldChar w:fldCharType="separate"/>
      </w:r>
      <w:r>
        <w:t>10</w:t>
      </w:r>
      <w:r>
        <w:fldChar w:fldCharType="end"/>
      </w:r>
      <w:r>
        <w:fldChar w:fldCharType="end"/>
      </w:r>
    </w:p>
    <w:p w14:paraId="7E50CAD2">
      <w:pPr>
        <w:pStyle w:val="20"/>
        <w:tabs>
          <w:tab w:val="right" w:leader="dot" w:pos="9354"/>
        </w:tabs>
      </w:pPr>
      <w:r>
        <w:fldChar w:fldCharType="end"/>
      </w:r>
    </w:p>
    <w:p w14:paraId="136F2B0C">
      <w:pPr>
        <w:pStyle w:val="231"/>
      </w:pPr>
      <w:bookmarkStart w:id="22" w:name="_Toc22050"/>
      <w:bookmarkStart w:id="23" w:name="_Toc30347925"/>
      <w:r>
        <w:rPr>
          <w:rFonts w:hint="eastAsia"/>
        </w:rPr>
        <w:t>前</w:t>
      </w:r>
      <w:bookmarkStart w:id="24" w:name="BKQY"/>
      <w:r>
        <w:rPr>
          <w:rFonts w:hAnsi="黑体"/>
        </w:rPr>
        <w:t>  </w:t>
      </w:r>
      <w:r>
        <w:rPr>
          <w:rFonts w:hint="eastAsia"/>
        </w:rPr>
        <w:t>言</w:t>
      </w:r>
      <w:bookmarkEnd w:id="22"/>
      <w:bookmarkEnd w:id="23"/>
      <w:bookmarkEnd w:id="24"/>
    </w:p>
    <w:p w14:paraId="5C6071D2">
      <w:pPr>
        <w:pStyle w:val="57"/>
        <w:ind w:firstLine="420"/>
      </w:pPr>
      <w:r>
        <w:rPr>
          <w:rFonts w:hint="eastAsia"/>
        </w:rPr>
        <w:t>本文件按照GB/T 1.1—2020《标准化工作导则  第1部分：标准化文件的结构和起草规则》的规定起草。</w:t>
      </w:r>
    </w:p>
    <w:p w14:paraId="7B4019E6">
      <w:pPr>
        <w:pStyle w:val="57"/>
        <w:ind w:firstLine="420"/>
      </w:pPr>
      <w:r>
        <w:rPr>
          <w:rFonts w:hint="eastAsia"/>
        </w:rPr>
        <w:t>本文件是《内河水运设施健康监测与预警技术规范》的第</w:t>
      </w:r>
      <w:r>
        <w:rPr>
          <w:rFonts w:hint="eastAsia"/>
          <w:lang w:val="en-US" w:eastAsia="zh-CN"/>
        </w:rPr>
        <w:t>2</w:t>
      </w:r>
      <w:r>
        <w:rPr>
          <w:rFonts w:hint="eastAsia"/>
        </w:rPr>
        <w:t>部分。《内河水运设施健康监测与预警技术规范》已经发布了以下部分：</w:t>
      </w:r>
    </w:p>
    <w:p w14:paraId="185D0AFD">
      <w:pPr>
        <w:pStyle w:val="57"/>
        <w:ind w:firstLine="420"/>
        <w:rPr>
          <w:rFonts w:hint="eastAsia"/>
        </w:rPr>
      </w:pPr>
      <w:r>
        <w:rPr>
          <w:rFonts w:hint="eastAsia"/>
        </w:rPr>
        <w:t>——第1部分：数据采集</w:t>
      </w:r>
    </w:p>
    <w:p w14:paraId="6A8396E2">
      <w:pPr>
        <w:pStyle w:val="57"/>
        <w:ind w:firstLine="420"/>
        <w:rPr>
          <w:rFonts w:hint="default" w:eastAsia="宋体"/>
          <w:lang w:val="en-US" w:eastAsia="zh-CN"/>
        </w:rPr>
      </w:pPr>
      <w:r>
        <w:rPr>
          <w:rFonts w:hint="eastAsia"/>
        </w:rPr>
        <w:t>——第</w:t>
      </w:r>
      <w:r>
        <w:rPr>
          <w:rFonts w:hint="eastAsia"/>
          <w:lang w:val="en-US" w:eastAsia="zh-CN"/>
        </w:rPr>
        <w:t>2</w:t>
      </w:r>
      <w:r>
        <w:rPr>
          <w:rFonts w:hint="eastAsia"/>
        </w:rPr>
        <w:t>部分：</w:t>
      </w:r>
      <w:r>
        <w:rPr>
          <w:rFonts w:hint="eastAsia"/>
          <w:lang w:val="en-US" w:eastAsia="zh-CN"/>
        </w:rPr>
        <w:t>平台技术要求</w:t>
      </w:r>
    </w:p>
    <w:p w14:paraId="557C8454">
      <w:pPr>
        <w:pStyle w:val="57"/>
        <w:ind w:firstLine="420"/>
      </w:pPr>
      <w:r>
        <w:rPr>
          <w:rFonts w:hint="eastAsia"/>
        </w:rPr>
        <w:t>请注意本文件的某些内容可能涉及专利。本文件的发布机构不承担识别专利的责任。</w:t>
      </w:r>
    </w:p>
    <w:p w14:paraId="37FA01AF">
      <w:pPr>
        <w:pStyle w:val="57"/>
        <w:ind w:firstLine="420"/>
      </w:pPr>
      <w:r>
        <w:rPr>
          <w:rFonts w:hint="eastAsia"/>
        </w:rPr>
        <w:t>本文件由安徽省交通科学研究院提出。</w:t>
      </w:r>
    </w:p>
    <w:p w14:paraId="6F328F6F">
      <w:pPr>
        <w:pStyle w:val="57"/>
        <w:ind w:firstLine="420"/>
      </w:pPr>
      <w:r>
        <w:rPr>
          <w:rFonts w:hint="eastAsia"/>
        </w:rPr>
        <w:t>本文件由安徽省交通运输厅归口。</w:t>
      </w:r>
    </w:p>
    <w:p w14:paraId="013B852A">
      <w:pPr>
        <w:pStyle w:val="57"/>
        <w:ind w:firstLine="420"/>
      </w:pPr>
      <w:r>
        <w:rPr>
          <w:rFonts w:hint="eastAsia"/>
        </w:rPr>
        <w:t>本文件起草单位：安徽省交通科学研究院、安徽省港航集团有限公司。</w:t>
      </w:r>
    </w:p>
    <w:p w14:paraId="459C2284">
      <w:pPr>
        <w:pStyle w:val="57"/>
        <w:ind w:firstLine="420"/>
      </w:pPr>
      <w:r>
        <w:rPr>
          <w:rFonts w:hint="eastAsia"/>
        </w:rPr>
        <w:t>本文件主要起草人：邢伟、高俊韬、万云刚、蔡灏、</w:t>
      </w:r>
      <w:r>
        <w:rPr>
          <w:rFonts w:hint="eastAsia"/>
          <w:lang w:val="en-US" w:eastAsia="zh-CN"/>
        </w:rPr>
        <w:t>韩朋</w:t>
      </w:r>
      <w:r>
        <w:rPr>
          <w:rFonts w:hint="eastAsia"/>
        </w:rPr>
        <w:t>、胡一恒、李潜、张牧羊、汪竹华、胡凯元、张念尧、柳阳。</w:t>
      </w:r>
    </w:p>
    <w:p w14:paraId="429043CB">
      <w:pPr>
        <w:pStyle w:val="57"/>
        <w:ind w:firstLine="420"/>
        <w:sectPr>
          <w:headerReference r:id="rId10" w:type="default"/>
          <w:footerReference r:id="rId12" w:type="default"/>
          <w:headerReference r:id="rId11"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type="lines" w:linePitch="312" w:charSpace="0"/>
        </w:sectPr>
      </w:pPr>
    </w:p>
    <w:p w14:paraId="63A2F4C9">
      <w:pPr>
        <w:pStyle w:val="231"/>
      </w:pPr>
      <w:bookmarkStart w:id="25" w:name="_Toc29626"/>
      <w:r>
        <w:rPr>
          <w:rFonts w:hint="eastAsia"/>
        </w:rPr>
        <w:t>引</w:t>
      </w:r>
      <w:r>
        <w:rPr>
          <w:rFonts w:hAnsi="黑体"/>
        </w:rPr>
        <w:t>  </w:t>
      </w:r>
      <w:r>
        <w:rPr>
          <w:rFonts w:hint="eastAsia"/>
        </w:rPr>
        <w:t>言</w:t>
      </w:r>
      <w:bookmarkEnd w:id="25"/>
    </w:p>
    <w:p w14:paraId="077D97AF">
      <w:pPr>
        <w:pStyle w:val="57"/>
        <w:ind w:firstLine="420"/>
      </w:pPr>
      <w:r>
        <w:rPr>
          <w:rFonts w:hint="eastAsia"/>
          <w:highlight w:val="none"/>
          <w:lang w:val="en-US" w:eastAsia="zh-CN"/>
        </w:rPr>
        <w:t>长期运行的</w:t>
      </w:r>
      <w:r>
        <w:rPr>
          <w:rFonts w:hint="eastAsia"/>
          <w:highlight w:val="none"/>
        </w:rPr>
        <w:t>内河水运设施</w:t>
      </w:r>
      <w:r>
        <w:rPr>
          <w:rFonts w:hint="eastAsia"/>
          <w:highlight w:val="none"/>
          <w:lang w:val="en-US" w:eastAsia="zh-CN"/>
        </w:rPr>
        <w:t>易产生</w:t>
      </w:r>
      <w:r>
        <w:rPr>
          <w:rFonts w:hint="eastAsia"/>
          <w:highlight w:val="none"/>
        </w:rPr>
        <w:t>病害</w:t>
      </w:r>
      <w:r>
        <w:rPr>
          <w:rFonts w:hint="eastAsia"/>
          <w:highlight w:val="none"/>
          <w:lang w:eastAsia="zh-CN"/>
        </w:rPr>
        <w:t>，</w:t>
      </w:r>
      <w:r>
        <w:rPr>
          <w:rFonts w:hint="eastAsia"/>
          <w:highlight w:val="none"/>
          <w:lang w:val="en-US" w:eastAsia="zh-CN"/>
        </w:rPr>
        <w:t>造成</w:t>
      </w:r>
      <w:r>
        <w:rPr>
          <w:rFonts w:hint="eastAsia"/>
          <w:highlight w:val="none"/>
        </w:rPr>
        <w:t>结构安全隐患。</w:t>
      </w:r>
      <w:r>
        <w:rPr>
          <w:rFonts w:hint="eastAsia"/>
        </w:rPr>
        <w:t>目前国内外对内河水运设施健康监测与预警</w:t>
      </w:r>
      <w:r>
        <w:rPr>
          <w:rFonts w:hint="eastAsia"/>
          <w:lang w:val="en-US" w:eastAsia="zh-CN"/>
        </w:rPr>
        <w:t>技术</w:t>
      </w:r>
      <w:r>
        <w:rPr>
          <w:rFonts w:hint="eastAsia"/>
        </w:rPr>
        <w:t>还处于起步阶段，安徽省交通科学研究院组织有关单位和部门，编制《内河水运设施健康监测与预警技术规范》。</w:t>
      </w:r>
    </w:p>
    <w:p w14:paraId="71AACA1E">
      <w:pPr>
        <w:pStyle w:val="57"/>
        <w:ind w:firstLine="420"/>
      </w:pPr>
      <w:r>
        <w:rPr>
          <w:rFonts w:hint="eastAsia"/>
        </w:rPr>
        <w:t>《内河水运设施健康监测与预警技术规范》覆盖了内河水运设施健康监测与预警的数据采集、数据存储、分析处理、功能应用的全过程。拟由两个部分组成：</w:t>
      </w:r>
    </w:p>
    <w:p w14:paraId="5C7EB09D">
      <w:pPr>
        <w:pStyle w:val="57"/>
        <w:ind w:firstLine="420"/>
      </w:pPr>
      <w:r>
        <w:rPr>
          <w:rFonts w:hint="eastAsia"/>
        </w:rPr>
        <w:t>——第1部分：数据采集。是对内河水运设施健康监测与预警数据的采集类型、采集内容、采集设备等提出要求。</w:t>
      </w:r>
    </w:p>
    <w:p w14:paraId="216B3CDA">
      <w:pPr>
        <w:pStyle w:val="57"/>
        <w:ind w:firstLine="420"/>
      </w:pPr>
      <w:r>
        <w:rPr>
          <w:rFonts w:hint="eastAsia"/>
        </w:rPr>
        <w:t>——第2部分：</w:t>
      </w:r>
      <w:r>
        <w:rPr>
          <w:rFonts w:hint="eastAsia"/>
          <w:lang w:val="en-US" w:eastAsia="zh-CN"/>
        </w:rPr>
        <w:t>平台技术要求</w:t>
      </w:r>
      <w:bookmarkStart w:id="80" w:name="_GoBack"/>
      <w:bookmarkEnd w:id="80"/>
      <w:r>
        <w:rPr>
          <w:rFonts w:hint="eastAsia"/>
        </w:rPr>
        <w:t>。是对内河水运设施健康监测与</w:t>
      </w:r>
      <w:r>
        <w:rPr>
          <w:rFonts w:hint="eastAsia"/>
          <w:highlight w:val="none"/>
        </w:rPr>
        <w:t>预警的数据</w:t>
      </w:r>
      <w:r>
        <w:rPr>
          <w:rFonts w:hint="eastAsia"/>
          <w:highlight w:val="none"/>
          <w:lang w:val="en-US" w:eastAsia="zh-CN"/>
        </w:rPr>
        <w:t>的实时监测、数据分析、预警管理、应急处置、评估决策和数据管理</w:t>
      </w:r>
      <w:r>
        <w:rPr>
          <w:rFonts w:hint="eastAsia"/>
          <w:highlight w:val="none"/>
        </w:rPr>
        <w:t>等提出要求</w:t>
      </w:r>
      <w:r>
        <w:rPr>
          <w:rFonts w:hint="eastAsia"/>
        </w:rPr>
        <w:t>。</w:t>
      </w:r>
    </w:p>
    <w:p w14:paraId="689E0D35">
      <w:pPr>
        <w:pStyle w:val="57"/>
        <w:ind w:firstLine="420"/>
        <w:sectPr>
          <w:pgSz w:w="11906" w:h="16838"/>
          <w:pgMar w:top="1928" w:right="1134" w:bottom="1134" w:left="1134" w:header="1418" w:footer="1134" w:gutter="284"/>
          <w:pgBorders>
            <w:top w:val="none" w:sz="0" w:space="0"/>
            <w:left w:val="none" w:sz="0" w:space="0"/>
            <w:bottom w:val="none" w:sz="0" w:space="0"/>
            <w:right w:val="none" w:sz="0" w:space="0"/>
          </w:pgBorders>
          <w:pgNumType w:fmt="upperRoman"/>
          <w:cols w:space="425" w:num="1"/>
          <w:formProt w:val="0"/>
          <w:docGrid w:type="lines" w:linePitch="312" w:charSpace="0"/>
        </w:sectPr>
      </w:pPr>
    </w:p>
    <w:bookmarkEnd w:id="21"/>
    <w:p w14:paraId="581941FC">
      <w:pPr>
        <w:spacing w:line="20" w:lineRule="exact"/>
        <w:jc w:val="center"/>
        <w:rPr>
          <w:rFonts w:ascii="黑体" w:hAnsi="黑体" w:eastAsia="黑体"/>
          <w:sz w:val="32"/>
          <w:szCs w:val="32"/>
        </w:rPr>
      </w:pPr>
      <w:bookmarkStart w:id="26" w:name="BookMark4"/>
    </w:p>
    <w:p w14:paraId="1518FF87">
      <w:pPr>
        <w:spacing w:line="20" w:lineRule="exact"/>
        <w:jc w:val="center"/>
        <w:rPr>
          <w:rFonts w:ascii="黑体" w:hAnsi="黑体" w:eastAsia="黑体"/>
          <w:sz w:val="32"/>
          <w:szCs w:val="32"/>
        </w:rPr>
      </w:pPr>
    </w:p>
    <w:sdt>
      <w:sdtPr>
        <w:tag w:val="NEW_STAND_NAME"/>
        <w:id w:val="595910757"/>
        <w:lock w:val="sdtLocked"/>
        <w:placeholder>
          <w:docPart w:val="8A755D882A994B24B05988A988F19A94"/>
        </w:placeholder>
      </w:sdtPr>
      <w:sdtContent>
        <w:p w14:paraId="6D3978EE">
          <w:pPr>
            <w:pStyle w:val="178"/>
            <w:spacing w:before="3" w:beforeLines="1" w:after="3" w:afterLines="1"/>
          </w:pPr>
          <w:bookmarkStart w:id="27" w:name="NEW_STAND_NAME"/>
          <w:r>
            <w:rPr>
              <w:rFonts w:hint="eastAsia"/>
            </w:rPr>
            <w:t>内河水运设施健康监测与预警技术规范</w:t>
          </w:r>
        </w:p>
        <w:p w14:paraId="1FE24D9D">
          <w:pPr>
            <w:pStyle w:val="178"/>
            <w:spacing w:before="3" w:beforeLines="1" w:after="680"/>
          </w:pPr>
          <w:r>
            <w:rPr>
              <w:rFonts w:hint="eastAsia"/>
            </w:rPr>
            <w:t>第</w:t>
          </w:r>
          <w:r>
            <w:rPr>
              <w:rFonts w:hint="eastAsia"/>
              <w:lang w:val="en-US" w:eastAsia="zh-CN"/>
            </w:rPr>
            <w:t>2</w:t>
          </w:r>
          <w:r>
            <w:rPr>
              <w:rFonts w:hint="eastAsia"/>
            </w:rPr>
            <w:t>部分：</w:t>
          </w:r>
          <w:r>
            <w:rPr>
              <w:rFonts w:hint="eastAsia"/>
              <w:lang w:val="en-US" w:eastAsia="zh-CN"/>
            </w:rPr>
            <w:t>平台技术要求</w:t>
          </w:r>
        </w:p>
      </w:sdtContent>
    </w:sdt>
    <w:bookmarkEnd w:id="27"/>
    <w:p w14:paraId="24C38684">
      <w:pPr>
        <w:pStyle w:val="105"/>
        <w:spacing w:before="312" w:after="312"/>
      </w:pPr>
      <w:bookmarkStart w:id="28" w:name="_Toc17233333"/>
      <w:bookmarkStart w:id="29" w:name="_Toc20196"/>
      <w:bookmarkStart w:id="30" w:name="_Toc24884211"/>
      <w:bookmarkStart w:id="31" w:name="_Toc26986530"/>
      <w:bookmarkStart w:id="32" w:name="_Toc97191423"/>
      <w:bookmarkStart w:id="33" w:name="_Toc17233325"/>
      <w:bookmarkStart w:id="34" w:name="_Toc26718930"/>
      <w:bookmarkStart w:id="35" w:name="_Toc26986771"/>
      <w:bookmarkStart w:id="36" w:name="_Toc26648465"/>
      <w:bookmarkStart w:id="37" w:name="_Toc24884218"/>
      <w:r>
        <w:rPr>
          <w:rFonts w:hint="eastAsia"/>
        </w:rPr>
        <w:t>范围</w:t>
      </w:r>
      <w:bookmarkEnd w:id="28"/>
      <w:bookmarkEnd w:id="29"/>
      <w:bookmarkEnd w:id="30"/>
      <w:bookmarkEnd w:id="31"/>
      <w:bookmarkEnd w:id="32"/>
      <w:bookmarkEnd w:id="33"/>
      <w:bookmarkEnd w:id="34"/>
      <w:bookmarkEnd w:id="35"/>
      <w:bookmarkEnd w:id="36"/>
      <w:bookmarkEnd w:id="37"/>
    </w:p>
    <w:p w14:paraId="7D302D08">
      <w:pPr>
        <w:pStyle w:val="57"/>
        <w:ind w:firstLine="420"/>
        <w:rPr>
          <w:highlight w:val="none"/>
        </w:rPr>
      </w:pPr>
      <w:bookmarkStart w:id="38" w:name="_Toc17233334"/>
      <w:bookmarkStart w:id="39" w:name="_Toc26648466"/>
      <w:bookmarkStart w:id="40" w:name="_Toc24884212"/>
      <w:bookmarkStart w:id="41" w:name="_Toc17233326"/>
      <w:bookmarkStart w:id="42" w:name="_Toc24884219"/>
      <w:r>
        <w:rPr>
          <w:rFonts w:hint="eastAsia"/>
          <w:highlight w:val="none"/>
        </w:rPr>
        <w:t>本文件规定了内河水运设施健康监测与预警数据的基本</w:t>
      </w:r>
      <w:r>
        <w:rPr>
          <w:rFonts w:hint="eastAsia"/>
          <w:highlight w:val="none"/>
          <w:lang w:val="en-US" w:eastAsia="zh-CN"/>
        </w:rPr>
        <w:t>规定</w:t>
      </w:r>
      <w:r>
        <w:rPr>
          <w:rFonts w:hint="eastAsia"/>
          <w:highlight w:val="none"/>
        </w:rPr>
        <w:t>、</w:t>
      </w:r>
      <w:r>
        <w:rPr>
          <w:rFonts w:hint="eastAsia"/>
          <w:highlight w:val="none"/>
          <w:lang w:val="en-US" w:eastAsia="zh-CN"/>
        </w:rPr>
        <w:t>实时监测、数据分析、预警管理、应急处置、评估决策以及数据管理</w:t>
      </w:r>
      <w:r>
        <w:rPr>
          <w:rFonts w:hint="eastAsia"/>
          <w:highlight w:val="none"/>
        </w:rPr>
        <w:t>等内容。</w:t>
      </w:r>
    </w:p>
    <w:p w14:paraId="2DC8BB8A">
      <w:pPr>
        <w:pStyle w:val="57"/>
        <w:ind w:firstLine="420"/>
        <w:rPr>
          <w:highlight w:val="none"/>
        </w:rPr>
      </w:pPr>
      <w:r>
        <w:rPr>
          <w:rFonts w:hint="eastAsia"/>
          <w:highlight w:val="none"/>
        </w:rPr>
        <w:t>本文件适用于内河水运设施健康监测</w:t>
      </w:r>
      <w:r>
        <w:rPr>
          <w:rFonts w:hint="eastAsia"/>
          <w:highlight w:val="none"/>
          <w:lang w:val="en-US" w:eastAsia="zh-CN"/>
        </w:rPr>
        <w:t>数据分析、预警和管理工作</w:t>
      </w:r>
      <w:r>
        <w:rPr>
          <w:rFonts w:hint="eastAsia"/>
          <w:highlight w:val="none"/>
        </w:rPr>
        <w:t>的实施。</w:t>
      </w:r>
    </w:p>
    <w:p w14:paraId="59BA754A">
      <w:pPr>
        <w:pStyle w:val="105"/>
        <w:spacing w:before="312" w:after="312"/>
      </w:pPr>
      <w:bookmarkStart w:id="43" w:name="_Toc26718931"/>
      <w:bookmarkStart w:id="44" w:name="_Toc26986772"/>
      <w:bookmarkStart w:id="45" w:name="_Toc97191424"/>
      <w:bookmarkStart w:id="46" w:name="_Toc26986531"/>
      <w:bookmarkStart w:id="47" w:name="_Toc5632"/>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65BA53A6D73640529B552FC29BF9F35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4EED121">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BF82015">
      <w:pPr>
        <w:pStyle w:val="57"/>
        <w:ind w:firstLine="420"/>
        <w:rPr>
          <w:rFonts w:hint="default"/>
          <w:highlight w:val="none"/>
          <w:lang w:val="en-US" w:eastAsia="zh-CN"/>
        </w:rPr>
      </w:pPr>
      <w:r>
        <w:rPr>
          <w:rFonts w:hint="default"/>
          <w:highlight w:val="none"/>
          <w:lang w:val="en-US" w:eastAsia="zh-CN"/>
        </w:rPr>
        <w:t>GB/T</w:t>
      </w:r>
      <w:r>
        <w:rPr>
          <w:rFonts w:hint="eastAsia"/>
          <w:highlight w:val="none"/>
          <w:lang w:val="en-US" w:eastAsia="zh-CN"/>
        </w:rPr>
        <w:t xml:space="preserve"> 36344  信息技术　数据质量评价指标</w:t>
      </w:r>
    </w:p>
    <w:p w14:paraId="07E561D5">
      <w:pPr>
        <w:pStyle w:val="57"/>
        <w:ind w:firstLine="420"/>
        <w:rPr>
          <w:rFonts w:hint="eastAsia"/>
          <w:lang w:val="en-US" w:eastAsia="zh-CN"/>
        </w:rPr>
      </w:pPr>
      <w:r>
        <w:rPr>
          <w:rFonts w:hint="default"/>
          <w:lang w:val="en-US" w:eastAsia="zh-CN"/>
        </w:rPr>
        <w:t>GB/T</w:t>
      </w:r>
      <w:r>
        <w:rPr>
          <w:rFonts w:hint="eastAsia"/>
          <w:lang w:val="en-US" w:eastAsia="zh-CN"/>
        </w:rPr>
        <w:t xml:space="preserve"> </w:t>
      </w:r>
      <w:r>
        <w:rPr>
          <w:rFonts w:hint="default"/>
          <w:lang w:val="en-US" w:eastAsia="zh-CN"/>
        </w:rPr>
        <w:t>37025</w:t>
      </w:r>
      <w:r>
        <w:rPr>
          <w:rFonts w:hint="eastAsia"/>
          <w:lang w:val="en-US" w:eastAsia="zh-CN"/>
        </w:rPr>
        <w:t xml:space="preserve">  信息安全技术　物联网数据传输安全技术要求</w:t>
      </w:r>
    </w:p>
    <w:p w14:paraId="5EB0649E">
      <w:pPr>
        <w:pStyle w:val="57"/>
        <w:ind w:firstLine="420"/>
        <w:rPr>
          <w:rFonts w:hint="default" w:eastAsia="宋体"/>
          <w:highlight w:val="none"/>
          <w:lang w:val="en-US" w:eastAsia="zh-CN"/>
        </w:rPr>
      </w:pPr>
      <w:r>
        <w:rPr>
          <w:rFonts w:hint="eastAsia"/>
          <w:highlight w:val="none"/>
          <w:lang w:val="en-US" w:eastAsia="zh-CN"/>
        </w:rPr>
        <w:t>GB 50158  港口工程结构可靠性设计统一标准</w:t>
      </w:r>
    </w:p>
    <w:p w14:paraId="435B3F5B">
      <w:pPr>
        <w:pStyle w:val="57"/>
        <w:ind w:firstLine="420"/>
        <w:rPr>
          <w:rFonts w:hint="eastAsia"/>
          <w:highlight w:val="none"/>
        </w:rPr>
      </w:pPr>
      <w:r>
        <w:rPr>
          <w:rFonts w:hint="eastAsia"/>
          <w:highlight w:val="none"/>
        </w:rPr>
        <w:t xml:space="preserve">JTS </w:t>
      </w:r>
      <w:r>
        <w:rPr>
          <w:rFonts w:hint="eastAsia"/>
          <w:highlight w:val="none"/>
          <w:lang w:val="en-US" w:eastAsia="zh-CN"/>
        </w:rPr>
        <w:t>304</w:t>
      </w:r>
      <w:r>
        <w:rPr>
          <w:rFonts w:hint="eastAsia"/>
          <w:highlight w:val="none"/>
        </w:rPr>
        <w:t xml:space="preserve">  水运工程水工建筑物检测与评估技术规范</w:t>
      </w:r>
    </w:p>
    <w:p w14:paraId="3E14CB25">
      <w:pPr>
        <w:pStyle w:val="57"/>
        <w:ind w:firstLine="420"/>
        <w:rPr>
          <w:rFonts w:hint="default"/>
          <w:highlight w:val="none"/>
          <w:lang w:val="en-US"/>
        </w:rPr>
      </w:pPr>
      <w:r>
        <w:rPr>
          <w:rFonts w:hint="eastAsia" w:hAnsi="宋体" w:cs="宋体"/>
          <w:color w:val="000000"/>
          <w:lang w:val="en-US" w:eastAsia="zh-CN" w:bidi="ar"/>
        </w:rPr>
        <w:t>JTS/T 312  港口水工建筑物结构健康监测技术规范</w:t>
      </w:r>
    </w:p>
    <w:p w14:paraId="0CB098A5">
      <w:pPr>
        <w:pStyle w:val="57"/>
        <w:ind w:firstLine="420"/>
        <w:rPr>
          <w:rFonts w:hint="eastAsia" w:hAnsi="宋体" w:eastAsia="宋体" w:cs="宋体"/>
          <w:color w:val="000000" w:themeColor="text1"/>
          <w:highlight w:val="none"/>
          <w:lang w:val="en-US" w:eastAsia="zh-CN"/>
          <w14:textFill>
            <w14:solidFill>
              <w14:schemeClr w14:val="tx1"/>
            </w14:solidFill>
          </w14:textFill>
        </w:rPr>
      </w:pPr>
      <w:r>
        <w:rPr>
          <w:rFonts w:hint="eastAsia" w:hAnsi="宋体" w:cs="宋体"/>
          <w:color w:val="000000" w:themeColor="text1"/>
          <w:highlight w:val="none"/>
          <w14:textFill>
            <w14:solidFill>
              <w14:schemeClr w14:val="tx1"/>
            </w14:solidFill>
          </w14:textFill>
        </w:rPr>
        <w:t>JT∕T 1037  公路桥梁结构监测技术</w:t>
      </w:r>
      <w:r>
        <w:rPr>
          <w:rFonts w:hint="eastAsia" w:hAnsi="宋体" w:cs="宋体"/>
          <w:color w:val="000000" w:themeColor="text1"/>
          <w:highlight w:val="none"/>
          <w:lang w:val="en-US" w:eastAsia="zh-CN"/>
          <w14:textFill>
            <w14:solidFill>
              <w14:schemeClr w14:val="tx1"/>
            </w14:solidFill>
          </w14:textFill>
        </w:rPr>
        <w:t>规范</w:t>
      </w:r>
    </w:p>
    <w:p w14:paraId="033866B7">
      <w:pPr>
        <w:pStyle w:val="57"/>
        <w:ind w:firstLine="420"/>
        <w:rPr>
          <w:rFonts w:hint="default"/>
          <w:lang w:val="en-US" w:eastAsia="zh-CN"/>
        </w:rPr>
      </w:pPr>
      <w:r>
        <w:rPr>
          <w:rFonts w:hint="default"/>
          <w:lang w:val="en-US" w:eastAsia="zh-CN"/>
        </w:rPr>
        <w:t>JTG/T H21</w:t>
      </w:r>
      <w:r>
        <w:rPr>
          <w:rFonts w:hint="eastAsia"/>
          <w:lang w:val="en-US" w:eastAsia="zh-CN"/>
        </w:rPr>
        <w:t xml:space="preserve">  </w:t>
      </w:r>
      <w:r>
        <w:rPr>
          <w:rFonts w:hint="default"/>
          <w:lang w:val="en-US" w:eastAsia="zh-CN"/>
        </w:rPr>
        <w:t>公路桥梁技术状况评定标准</w:t>
      </w:r>
    </w:p>
    <w:p w14:paraId="1D3EE8C8">
      <w:pPr>
        <w:pStyle w:val="57"/>
        <w:ind w:firstLine="420"/>
        <w:rPr>
          <w:rFonts w:hint="default"/>
          <w:lang w:val="en-US" w:eastAsia="zh-CN"/>
        </w:rPr>
      </w:pPr>
      <w:r>
        <w:rPr>
          <w:rFonts w:hint="default"/>
          <w:lang w:val="en-US" w:eastAsia="zh-CN"/>
        </w:rPr>
        <w:t>JTG D60</w:t>
      </w:r>
      <w:r>
        <w:rPr>
          <w:rFonts w:hint="eastAsia"/>
          <w:lang w:val="en-US" w:eastAsia="zh-CN"/>
        </w:rPr>
        <w:t xml:space="preserve">  公路桥涵设计通用规范</w:t>
      </w:r>
    </w:p>
    <w:p w14:paraId="0B40EB20">
      <w:pPr>
        <w:pStyle w:val="57"/>
        <w:ind w:firstLine="420"/>
        <w:rPr>
          <w:rFonts w:hint="eastAsia" w:hAnsi="宋体" w:cs="宋体"/>
          <w:color w:val="000000"/>
          <w:lang w:val="en-US" w:eastAsia="zh-CN" w:bidi="ar"/>
        </w:rPr>
      </w:pPr>
      <w:r>
        <w:rPr>
          <w:rFonts w:hint="eastAsia" w:hAnsi="宋体" w:cs="宋体"/>
          <w:color w:val="000000"/>
          <w:lang w:bidi="ar"/>
        </w:rPr>
        <w:t>JTG 5120</w:t>
      </w:r>
      <w:r>
        <w:rPr>
          <w:rFonts w:hint="eastAsia" w:hAnsi="宋体" w:cs="宋体"/>
          <w:color w:val="000000"/>
          <w:lang w:val="en-US" w:eastAsia="zh-CN" w:bidi="ar"/>
        </w:rPr>
        <w:t xml:space="preserve">  公路桥涵养护规范</w:t>
      </w:r>
    </w:p>
    <w:p w14:paraId="7325C074">
      <w:pPr>
        <w:pStyle w:val="105"/>
        <w:spacing w:before="312" w:after="312"/>
      </w:pPr>
      <w:bookmarkStart w:id="48" w:name="_Toc6545"/>
      <w:bookmarkStart w:id="49" w:name="_Toc97191425"/>
      <w:r>
        <w:rPr>
          <w:rFonts w:hint="eastAsia"/>
          <w:szCs w:val="21"/>
        </w:rPr>
        <w:t>术语和定义</w:t>
      </w:r>
      <w:bookmarkEnd w:id="48"/>
      <w:bookmarkEnd w:id="49"/>
    </w:p>
    <w:sdt>
      <w:sdtPr>
        <w:id w:val="-1909835108"/>
        <w:placeholder>
          <w:docPart w:val="1A52D902FE5E43CF9E991CB70A24CA1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3A26AE4">
          <w:pPr>
            <w:pStyle w:val="57"/>
            <w:ind w:firstLine="420"/>
          </w:pPr>
          <w:bookmarkStart w:id="50" w:name="_Toc26986532"/>
          <w:bookmarkEnd w:id="50"/>
          <w:r>
            <w:t>下列术语和定义适用于本文件。</w:t>
          </w:r>
        </w:p>
      </w:sdtContent>
    </w:sdt>
    <w:p w14:paraId="57FF182E">
      <w:pPr>
        <w:pStyle w:val="224"/>
        <w:ind w:left="420" w:hanging="420" w:hangingChars="200"/>
        <w:rPr>
          <w:rFonts w:hint="eastAsia" w:ascii="黑体" w:hAnsi="宋体" w:eastAsia="黑体" w:cs="黑体"/>
          <w:color w:val="000000"/>
          <w:kern w:val="0"/>
          <w:sz w:val="21"/>
          <w:szCs w:val="21"/>
          <w:lang w:val="en-US" w:eastAsia="zh-CN" w:bidi="ar"/>
        </w:rPr>
      </w:pPr>
    </w:p>
    <w:p w14:paraId="458CFB9C">
      <w:pPr>
        <w:pStyle w:val="224"/>
        <w:numPr>
          <w:ilvl w:val="2"/>
          <w:numId w:val="0"/>
        </w:numPr>
        <w:ind w:left="-420" w:leftChars="-200" w:firstLine="840" w:firstLineChars="400"/>
        <w:rPr>
          <w:rFonts w:hint="default" w:ascii="黑体" w:hAnsi="黑体" w:eastAsia="黑体"/>
          <w:highlight w:val="none"/>
          <w:lang w:val="en-US" w:eastAsia="zh-CN"/>
        </w:rPr>
      </w:pPr>
      <w:bookmarkStart w:id="51" w:name="OLE_LINK1"/>
      <w:r>
        <w:rPr>
          <w:rFonts w:hint="eastAsia" w:ascii="黑体" w:hAnsi="黑体" w:eastAsia="黑体"/>
          <w:highlight w:val="none"/>
          <w:lang w:val="en-US" w:eastAsia="zh-CN"/>
        </w:rPr>
        <w:t>超限阈值 exceeding the threshold</w:t>
      </w:r>
    </w:p>
    <w:bookmarkEnd w:id="51"/>
    <w:p w14:paraId="58E29950">
      <w:pPr>
        <w:keepNext w:val="0"/>
        <w:keepLines w:val="0"/>
        <w:widowControl/>
        <w:suppressLineNumbers w:val="0"/>
        <w:ind w:firstLine="400" w:firstLineChars="200"/>
        <w:jc w:val="left"/>
        <w:rPr>
          <w:rFonts w:hint="eastAsia" w:ascii="宋体" w:hAnsi="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对</w:t>
      </w:r>
      <w:r>
        <w:rPr>
          <w:rFonts w:hint="eastAsia" w:ascii="宋体" w:hAnsi="宋体" w:cs="宋体"/>
          <w:color w:val="000000"/>
          <w:kern w:val="0"/>
          <w:sz w:val="20"/>
          <w:szCs w:val="20"/>
          <w:lang w:val="en-US" w:eastAsia="zh-CN" w:bidi="ar"/>
        </w:rPr>
        <w:t>内河水运设施</w:t>
      </w:r>
      <w:r>
        <w:rPr>
          <w:rFonts w:hint="eastAsia" w:ascii="宋体" w:hAnsi="宋体" w:eastAsia="宋体" w:cs="宋体"/>
          <w:color w:val="000000"/>
          <w:kern w:val="0"/>
          <w:sz w:val="20"/>
          <w:szCs w:val="20"/>
          <w:lang w:val="en-US" w:eastAsia="zh-CN" w:bidi="ar"/>
        </w:rPr>
        <w:t>可能出现的各种级别</w:t>
      </w:r>
      <w:r>
        <w:rPr>
          <w:rFonts w:hint="eastAsia" w:ascii="宋体" w:hAnsi="宋体" w:cs="宋体"/>
          <w:color w:val="000000"/>
          <w:kern w:val="0"/>
          <w:sz w:val="20"/>
          <w:szCs w:val="20"/>
          <w:lang w:val="en-US" w:eastAsia="zh-CN" w:bidi="ar"/>
        </w:rPr>
        <w:t>安全</w:t>
      </w:r>
      <w:r>
        <w:rPr>
          <w:rFonts w:hint="eastAsia" w:ascii="宋体" w:hAnsi="宋体" w:eastAsia="宋体" w:cs="宋体"/>
          <w:color w:val="000000"/>
          <w:kern w:val="0"/>
          <w:sz w:val="20"/>
          <w:szCs w:val="20"/>
          <w:lang w:val="en-US" w:eastAsia="zh-CN" w:bidi="ar"/>
        </w:rPr>
        <w:t>风险，各监测</w:t>
      </w:r>
      <w:r>
        <w:rPr>
          <w:rFonts w:hint="eastAsia" w:ascii="宋体" w:hAnsi="宋体" w:cs="宋体"/>
          <w:color w:val="000000"/>
          <w:kern w:val="0"/>
          <w:sz w:val="20"/>
          <w:szCs w:val="20"/>
          <w:lang w:val="en-US" w:eastAsia="zh-CN" w:bidi="ar"/>
        </w:rPr>
        <w:t>项</w:t>
      </w:r>
      <w:r>
        <w:rPr>
          <w:rFonts w:hint="eastAsia" w:ascii="宋体" w:hAnsi="宋体" w:eastAsia="宋体" w:cs="宋体"/>
          <w:color w:val="000000"/>
          <w:kern w:val="0"/>
          <w:sz w:val="20"/>
          <w:szCs w:val="20"/>
          <w:lang w:val="en-US" w:eastAsia="zh-CN" w:bidi="ar"/>
        </w:rPr>
        <w:t>数据特征指标所设定的临界状态警戒值</w:t>
      </w:r>
      <w:r>
        <w:rPr>
          <w:rFonts w:hint="eastAsia" w:ascii="宋体" w:hAnsi="宋体" w:cs="宋体"/>
          <w:color w:val="000000"/>
          <w:kern w:val="0"/>
          <w:sz w:val="20"/>
          <w:szCs w:val="20"/>
          <w:lang w:val="en-US" w:eastAsia="zh-CN" w:bidi="ar"/>
        </w:rPr>
        <w:t>。</w:t>
      </w:r>
    </w:p>
    <w:p w14:paraId="7B4E49FB">
      <w:pPr>
        <w:pStyle w:val="224"/>
        <w:ind w:left="420" w:hanging="420" w:hangingChars="200"/>
        <w:rPr>
          <w:rFonts w:hint="eastAsia"/>
          <w:lang w:val="en-US" w:eastAsia="zh-CN"/>
        </w:rPr>
      </w:pPr>
    </w:p>
    <w:p w14:paraId="0A228364">
      <w:pPr>
        <w:pStyle w:val="224"/>
        <w:numPr>
          <w:ilvl w:val="2"/>
          <w:numId w:val="0"/>
        </w:numPr>
        <w:ind w:left="-420" w:leftChars="-200" w:firstLine="840" w:firstLineChars="400"/>
        <w:rPr>
          <w:rFonts w:hint="eastAsia" w:ascii="黑体" w:hAnsi="黑体" w:eastAsia="黑体"/>
          <w:highlight w:val="none"/>
          <w:lang w:val="en-US" w:eastAsia="zh-CN"/>
        </w:rPr>
      </w:pPr>
      <w:r>
        <w:rPr>
          <w:rFonts w:hint="eastAsia" w:ascii="黑体" w:hAnsi="黑体" w:eastAsia="黑体"/>
          <w:highlight w:val="none"/>
          <w:lang w:val="en-US" w:eastAsia="zh-CN"/>
        </w:rPr>
        <w:t xml:space="preserve">安全预警 safety forewarning </w:t>
      </w:r>
    </w:p>
    <w:p w14:paraId="3A6E81BF">
      <w:pPr>
        <w:pStyle w:val="163"/>
        <w:numPr>
          <w:ilvl w:val="0"/>
          <w:numId w:val="0"/>
        </w:numPr>
        <w:ind w:firstLine="420" w:firstLineChars="200"/>
        <w:rPr>
          <w:rFonts w:hint="eastAsia"/>
          <w:highlight w:val="none"/>
          <w:lang w:val="en-US" w:eastAsia="zh-CN"/>
        </w:rPr>
      </w:pPr>
      <w:r>
        <w:rPr>
          <w:rFonts w:hint="eastAsia"/>
          <w:highlight w:val="none"/>
          <w:lang w:val="en-US" w:eastAsia="zh-CN"/>
        </w:rPr>
        <w:t>当内河水运设施健康相关结构或环境的状态特征指标超过阈值，并根据预设的专业规则判定其影响设施安全后，向相关责任方发出安全警告的行为。</w:t>
      </w:r>
    </w:p>
    <w:p w14:paraId="3B305062">
      <w:pPr>
        <w:pStyle w:val="224"/>
        <w:ind w:left="420" w:hanging="420" w:hangingChars="200"/>
        <w:rPr>
          <w:rFonts w:hint="eastAsia"/>
          <w:highlight w:val="none"/>
          <w:lang w:val="en-US" w:eastAsia="zh-CN"/>
        </w:rPr>
      </w:pPr>
    </w:p>
    <w:p w14:paraId="0A9D1C94">
      <w:pPr>
        <w:pStyle w:val="224"/>
        <w:numPr>
          <w:ilvl w:val="2"/>
          <w:numId w:val="0"/>
        </w:numPr>
        <w:ind w:left="-420" w:leftChars="-200" w:firstLine="840" w:firstLineChars="400"/>
        <w:rPr>
          <w:rFonts w:hint="default" w:ascii="黑体" w:hAnsi="黑体" w:eastAsia="黑体"/>
          <w:highlight w:val="none"/>
          <w:lang w:val="en-US" w:eastAsia="zh-CN"/>
        </w:rPr>
      </w:pPr>
      <w:r>
        <w:rPr>
          <w:rFonts w:hint="eastAsia" w:ascii="黑体" w:hAnsi="黑体" w:eastAsia="黑体"/>
          <w:highlight w:val="none"/>
          <w:lang w:val="en-US" w:eastAsia="zh-CN"/>
        </w:rPr>
        <w:t>设施结构</w:t>
      </w:r>
      <w:bookmarkStart w:id="52" w:name="OLE_LINK2"/>
      <w:r>
        <w:rPr>
          <w:rFonts w:hint="eastAsia" w:ascii="黑体" w:hAnsi="黑体" w:eastAsia="黑体"/>
          <w:highlight w:val="none"/>
          <w:lang w:val="en-US" w:eastAsia="zh-CN"/>
        </w:rPr>
        <w:t>健康度</w:t>
      </w:r>
      <w:bookmarkEnd w:id="52"/>
      <w:r>
        <w:rPr>
          <w:rFonts w:hint="eastAsia" w:ascii="黑体" w:hAnsi="黑体" w:eastAsia="黑体"/>
          <w:highlight w:val="none"/>
          <w:lang w:val="en-US" w:eastAsia="zh-CN"/>
        </w:rPr>
        <w:t xml:space="preserve"> structural health level</w:t>
      </w:r>
    </w:p>
    <w:p w14:paraId="56553D28">
      <w:pPr>
        <w:pStyle w:val="163"/>
        <w:numPr>
          <w:ilvl w:val="0"/>
          <w:numId w:val="0"/>
        </w:numPr>
        <w:ind w:firstLine="420" w:firstLineChars="200"/>
        <w:rPr>
          <w:rFonts w:hint="eastAsia" w:ascii="宋体" w:hAnsi="宋体" w:eastAsia="宋体" w:cs="宋体"/>
          <w:color w:val="000000"/>
          <w:kern w:val="0"/>
          <w:sz w:val="20"/>
          <w:szCs w:val="20"/>
          <w:lang w:val="en-US" w:eastAsia="zh-CN" w:bidi="ar"/>
        </w:rPr>
      </w:pPr>
      <w:r>
        <w:rPr>
          <w:rFonts w:hint="eastAsia"/>
          <w:highlight w:val="none"/>
          <w:lang w:val="en-US" w:eastAsia="zh-CN"/>
        </w:rPr>
        <w:t xml:space="preserve">相对于设施简称状态或设计规定的结构安全和功能要求，当前桥梁结构安全和功能所处的相 </w:t>
      </w:r>
      <w:r>
        <w:rPr>
          <w:rFonts w:hint="eastAsia" w:ascii="宋体" w:hAnsi="宋体" w:eastAsia="宋体" w:cs="宋体"/>
          <w:color w:val="000000"/>
          <w:kern w:val="0"/>
          <w:sz w:val="20"/>
          <w:szCs w:val="20"/>
          <w:lang w:val="en-US" w:eastAsia="zh-CN" w:bidi="ar"/>
        </w:rPr>
        <w:t>对水平。</w:t>
      </w:r>
    </w:p>
    <w:p w14:paraId="3A0BCAE0">
      <w:pPr>
        <w:pStyle w:val="224"/>
        <w:ind w:left="420" w:hanging="420" w:hangingChars="200"/>
        <w:rPr>
          <w:rFonts w:hint="eastAsia"/>
          <w:highlight w:val="none"/>
          <w:lang w:val="en-US" w:eastAsia="zh-CN"/>
        </w:rPr>
      </w:pPr>
    </w:p>
    <w:p w14:paraId="1BDBA5A2">
      <w:pPr>
        <w:pStyle w:val="224"/>
        <w:numPr>
          <w:ilvl w:val="2"/>
          <w:numId w:val="0"/>
        </w:numPr>
        <w:ind w:left="-420" w:leftChars="-200" w:firstLine="840" w:firstLineChars="400"/>
        <w:rPr>
          <w:rFonts w:hint="default" w:ascii="黑体" w:hAnsi="黑体" w:eastAsia="黑体"/>
          <w:highlight w:val="none"/>
          <w:lang w:val="en-US" w:eastAsia="zh-CN"/>
        </w:rPr>
      </w:pPr>
      <w:r>
        <w:rPr>
          <w:rFonts w:hint="eastAsia" w:ascii="黑体" w:hAnsi="黑体" w:eastAsia="黑体"/>
          <w:highlight w:val="none"/>
          <w:lang w:val="en-US" w:eastAsia="zh-CN"/>
        </w:rPr>
        <w:t>服役状态评估 assessment of facility operation status</w:t>
      </w:r>
    </w:p>
    <w:p w14:paraId="7B590224">
      <w:pPr>
        <w:pStyle w:val="163"/>
        <w:numPr>
          <w:ilvl w:val="0"/>
          <w:numId w:val="0"/>
        </w:numPr>
        <w:ind w:firstLine="420" w:firstLineChars="200"/>
        <w:rPr>
          <w:rFonts w:hint="eastAsia"/>
          <w:highlight w:val="none"/>
          <w:lang w:val="en-US" w:eastAsia="zh-CN"/>
        </w:rPr>
      </w:pPr>
      <w:r>
        <w:rPr>
          <w:rFonts w:hint="eastAsia"/>
          <w:highlight w:val="none"/>
          <w:lang w:val="en-US" w:eastAsia="zh-CN"/>
        </w:rPr>
        <w:t>为确定内河水运设施整体或局部结构安全状态，对监测数据和人工检查成果进行的专项或周期性分析和评估</w:t>
      </w:r>
    </w:p>
    <w:p w14:paraId="6E64D97B">
      <w:pPr>
        <w:pStyle w:val="105"/>
        <w:spacing w:before="312" w:after="312"/>
      </w:pPr>
      <w:bookmarkStart w:id="53" w:name="_Toc7199"/>
      <w:r>
        <w:rPr>
          <w:rFonts w:hint="eastAsia"/>
        </w:rPr>
        <w:t>基本</w:t>
      </w:r>
      <w:r>
        <w:rPr>
          <w:rFonts w:hint="eastAsia"/>
          <w:lang w:val="en-US" w:eastAsia="zh-CN"/>
        </w:rPr>
        <w:t>规定</w:t>
      </w:r>
      <w:bookmarkEnd w:id="53"/>
    </w:p>
    <w:p w14:paraId="3B76E3C1">
      <w:pPr>
        <w:pStyle w:val="163"/>
        <w:rPr>
          <w:rFonts w:hint="eastAsia"/>
          <w:highlight w:val="none"/>
          <w:lang w:val="en-US" w:eastAsia="zh-CN"/>
        </w:rPr>
      </w:pPr>
      <w:r>
        <w:rPr>
          <w:rFonts w:hint="eastAsia"/>
          <w:highlight w:val="none"/>
          <w:lang w:val="en-US" w:eastAsia="zh-CN"/>
        </w:rPr>
        <w:t>内河水运设施健康监测与预警平台结构应包括省级平台和项目级平台两侧结构，省级平台应采用云平台的方式建设，不同区域权限用户，访问省级平台获取相关应用。</w:t>
      </w:r>
    </w:p>
    <w:p w14:paraId="6A4184FA">
      <w:pPr>
        <w:pStyle w:val="163"/>
        <w:rPr>
          <w:rFonts w:hint="eastAsia"/>
          <w:highlight w:val="none"/>
          <w:lang w:val="en-US" w:eastAsia="zh-CN"/>
        </w:rPr>
      </w:pPr>
      <w:r>
        <w:rPr>
          <w:rFonts w:hint="eastAsia"/>
          <w:highlight w:val="none"/>
          <w:lang w:val="en-US" w:eastAsia="zh-CN"/>
        </w:rPr>
        <w:t>内河水运设施健康监测与预警平台功能应包括实时监测、数据分析、预警管理和应急处置等四个模块。</w:t>
      </w:r>
    </w:p>
    <w:p w14:paraId="67211BDC">
      <w:pPr>
        <w:pStyle w:val="163"/>
        <w:rPr>
          <w:rFonts w:hint="eastAsia"/>
          <w:lang w:val="en-US" w:eastAsia="zh-CN"/>
        </w:rPr>
      </w:pPr>
      <w:r>
        <w:rPr>
          <w:rFonts w:hint="eastAsia"/>
          <w:lang w:val="en-US" w:eastAsia="zh-CN"/>
        </w:rPr>
        <w:t>根据监测目的和适用场景不同，项目级平台的建设可分为综合集成监测系统、特定风险分析与预警系统和应急监测分析与预警系统，相关定义和适用范围参见本附录A。</w:t>
      </w:r>
    </w:p>
    <w:p w14:paraId="31FDA16E">
      <w:pPr>
        <w:pStyle w:val="163"/>
        <w:rPr>
          <w:rFonts w:hint="eastAsia"/>
          <w:highlight w:val="none"/>
          <w:lang w:val="en-US" w:eastAsia="zh-CN"/>
        </w:rPr>
      </w:pPr>
      <w:r>
        <w:rPr>
          <w:rFonts w:hint="eastAsia"/>
          <w:lang w:val="en-US" w:eastAsia="zh-CN"/>
        </w:rPr>
        <w:t>新建</w:t>
      </w:r>
      <w:r>
        <w:rPr>
          <w:rFonts w:hint="eastAsia"/>
          <w:highlight w:val="none"/>
          <w:lang w:val="en-US" w:eastAsia="zh-CN"/>
        </w:rPr>
        <w:t>内河水运设施的健康监测系统宜与主体结构同步设计、同步施工，并与主体结构同步验收。</w:t>
      </w:r>
    </w:p>
    <w:p w14:paraId="2A5796FD">
      <w:pPr>
        <w:pStyle w:val="163"/>
        <w:rPr>
          <w:rFonts w:hint="eastAsia"/>
          <w:highlight w:val="none"/>
          <w:lang w:val="en-US" w:eastAsia="zh-CN"/>
        </w:rPr>
      </w:pPr>
      <w:r>
        <w:rPr>
          <w:rFonts w:hint="eastAsia"/>
          <w:highlight w:val="none"/>
          <w:lang w:val="en-US" w:eastAsia="zh-CN"/>
        </w:rPr>
        <w:t>宜利用信息系统建立健全信息化的内河水运设施技术档案，并及时更新技术数据，保障技术档案真实、完整和使用方便。</w:t>
      </w:r>
    </w:p>
    <w:p w14:paraId="5720DA06">
      <w:pPr>
        <w:pStyle w:val="163"/>
        <w:rPr>
          <w:rFonts w:hint="default"/>
          <w:highlight w:val="none"/>
          <w:lang w:val="en-US" w:eastAsia="zh-CN"/>
        </w:rPr>
      </w:pPr>
      <w:r>
        <w:rPr>
          <w:rFonts w:hint="eastAsia"/>
          <w:highlight w:val="none"/>
          <w:lang w:val="en-US" w:eastAsia="zh-CN"/>
        </w:rPr>
        <w:t>内河水运设施健康监测与预警平台安全应符合信息安全等级保护二级要求。</w:t>
      </w:r>
    </w:p>
    <w:p w14:paraId="16AFFDF5">
      <w:pPr>
        <w:pStyle w:val="105"/>
        <w:spacing w:before="312" w:after="312"/>
        <w:rPr>
          <w:rFonts w:hint="eastAsia"/>
          <w:szCs w:val="21"/>
          <w:lang w:val="en-US" w:eastAsia="zh-CN"/>
        </w:rPr>
      </w:pPr>
      <w:bookmarkStart w:id="54" w:name="_Toc25829"/>
      <w:r>
        <w:rPr>
          <w:rFonts w:hint="eastAsia"/>
          <w:szCs w:val="21"/>
          <w:lang w:val="en-US" w:eastAsia="zh-CN"/>
        </w:rPr>
        <w:t>实时监测</w:t>
      </w:r>
      <w:bookmarkEnd w:id="54"/>
    </w:p>
    <w:p w14:paraId="5DCC66D4">
      <w:pPr>
        <w:pStyle w:val="163"/>
        <w:rPr>
          <w:rFonts w:hint="eastAsia"/>
          <w:highlight w:val="none"/>
          <w:lang w:val="en-US" w:eastAsia="zh-CN"/>
        </w:rPr>
      </w:pPr>
      <w:r>
        <w:rPr>
          <w:rFonts w:hint="eastAsia"/>
          <w:highlight w:val="none"/>
          <w:lang w:val="en-US" w:eastAsia="zh-CN"/>
        </w:rPr>
        <w:t>实时监测数据类型、内容及要求应按照DB34/T 4828.1中数据采集相关要求执行。</w:t>
      </w:r>
    </w:p>
    <w:p w14:paraId="0E096E98">
      <w:pPr>
        <w:pStyle w:val="163"/>
        <w:rPr>
          <w:rFonts w:hint="eastAsia"/>
          <w:highlight w:val="none"/>
          <w:lang w:val="en-US" w:eastAsia="zh-CN"/>
        </w:rPr>
      </w:pPr>
      <w:r>
        <w:rPr>
          <w:rFonts w:hint="eastAsia"/>
          <w:highlight w:val="none"/>
          <w:lang w:val="en-US" w:eastAsia="zh-CN"/>
        </w:rPr>
        <w:t>实时监测的数据应以电子航道图或三维模型为地图底座，集中呈现传感设备实时监测和人工定时检测的内河水运设施健康运行状态数据。</w:t>
      </w:r>
    </w:p>
    <w:p w14:paraId="7969524D">
      <w:pPr>
        <w:pStyle w:val="163"/>
        <w:rPr>
          <w:rFonts w:hint="eastAsia"/>
          <w:highlight w:val="none"/>
          <w:lang w:val="en-US" w:eastAsia="zh-CN"/>
        </w:rPr>
      </w:pPr>
      <w:r>
        <w:rPr>
          <w:rFonts w:hint="eastAsia"/>
          <w:highlight w:val="none"/>
          <w:lang w:val="en-US" w:eastAsia="zh-CN"/>
        </w:rPr>
        <w:t>地图应以不同颜色区分显示设施健康状态，应支持地图漫游、智能检索、空间汇聚等功能。</w:t>
      </w:r>
    </w:p>
    <w:p w14:paraId="73A0CCFB">
      <w:pPr>
        <w:pStyle w:val="163"/>
        <w:rPr>
          <w:rFonts w:hint="eastAsia"/>
          <w:highlight w:val="none"/>
          <w:lang w:val="en-US" w:eastAsia="zh-CN"/>
        </w:rPr>
      </w:pPr>
      <w:r>
        <w:rPr>
          <w:rFonts w:hint="eastAsia"/>
          <w:highlight w:val="none"/>
          <w:lang w:val="en-US" w:eastAsia="zh-CN"/>
        </w:rPr>
        <w:t>宜采用可视化图表的形式，汇总显示设施总数、预警总数、报警总数、误报总数等。</w:t>
      </w:r>
    </w:p>
    <w:p w14:paraId="5E3E6857">
      <w:pPr>
        <w:pStyle w:val="163"/>
        <w:rPr>
          <w:rFonts w:hint="eastAsia"/>
          <w:highlight w:val="none"/>
          <w:lang w:val="en-US" w:eastAsia="zh-CN"/>
        </w:rPr>
      </w:pPr>
      <w:r>
        <w:rPr>
          <w:rFonts w:hint="eastAsia"/>
          <w:highlight w:val="none"/>
          <w:lang w:val="en-US" w:eastAsia="zh-CN"/>
        </w:rPr>
        <w:t>宜按照地域、设施、时间等条件，汇总显示各类设施监测、预警、处置的实时数据和历史数据。</w:t>
      </w:r>
    </w:p>
    <w:p w14:paraId="1F84A2D5">
      <w:pPr>
        <w:pStyle w:val="163"/>
        <w:rPr>
          <w:rFonts w:hint="eastAsia"/>
          <w:highlight w:val="none"/>
          <w:lang w:val="en-US" w:eastAsia="zh-CN"/>
        </w:rPr>
      </w:pPr>
      <w:r>
        <w:rPr>
          <w:rFonts w:hint="eastAsia"/>
          <w:highlight w:val="none"/>
          <w:lang w:val="en-US" w:eastAsia="zh-CN"/>
        </w:rPr>
        <w:t>当监测设施发生预警和告警时，监测界面应及时弹出警示信息。</w:t>
      </w:r>
    </w:p>
    <w:p w14:paraId="23F34B57">
      <w:pPr>
        <w:pStyle w:val="105"/>
        <w:spacing w:before="312" w:after="312"/>
        <w:rPr>
          <w:rFonts w:hint="eastAsia"/>
          <w:szCs w:val="21"/>
          <w:lang w:val="en-US" w:eastAsia="zh-CN"/>
        </w:rPr>
      </w:pPr>
      <w:bookmarkStart w:id="55" w:name="_Toc28854"/>
      <w:r>
        <w:rPr>
          <w:rFonts w:hint="eastAsia"/>
          <w:szCs w:val="21"/>
          <w:lang w:val="en-US" w:eastAsia="zh-CN"/>
        </w:rPr>
        <w:t>数据分析</w:t>
      </w:r>
      <w:bookmarkEnd w:id="55"/>
    </w:p>
    <w:p w14:paraId="0BE99847">
      <w:pPr>
        <w:pStyle w:val="106"/>
        <w:bidi w:val="0"/>
        <w:rPr>
          <w:rFonts w:hint="default"/>
          <w:lang w:val="en-US" w:eastAsia="zh-CN"/>
        </w:rPr>
      </w:pPr>
      <w:bookmarkStart w:id="56" w:name="_Toc21643"/>
      <w:r>
        <w:rPr>
          <w:rFonts w:hint="eastAsia"/>
          <w:lang w:val="en-US" w:eastAsia="zh-CN"/>
        </w:rPr>
        <w:t>一般规定</w:t>
      </w:r>
      <w:bookmarkEnd w:id="56"/>
    </w:p>
    <w:p w14:paraId="30BC0F20">
      <w:pPr>
        <w:pStyle w:val="166"/>
        <w:rPr>
          <w:rFonts w:hint="eastAsia"/>
          <w:lang w:val="en-US" w:eastAsia="zh-CN"/>
        </w:rPr>
      </w:pPr>
      <w:r>
        <w:rPr>
          <w:rFonts w:hint="eastAsia"/>
          <w:lang w:val="en-US" w:eastAsia="zh-CN"/>
        </w:rPr>
        <w:t>传感设备采集到的实时监测数据不宜直接用于数据分析，实时监测数据应经数据预处理及分析后得到状态特征指标，再将其与预设阈值自动比对分析，实时监测数据的处理分析应符合JTS 304和JT/T 1037的相关规定。</w:t>
      </w:r>
    </w:p>
    <w:p w14:paraId="060B119F">
      <w:pPr>
        <w:pStyle w:val="166"/>
        <w:rPr>
          <w:rFonts w:hint="eastAsia"/>
          <w:lang w:val="en-US" w:eastAsia="zh-CN"/>
        </w:rPr>
      </w:pPr>
      <w:r>
        <w:rPr>
          <w:rFonts w:hint="eastAsia"/>
          <w:lang w:val="en-US" w:eastAsia="zh-CN"/>
        </w:rPr>
        <w:t>数据分析宜采用人工智能、深度学习等先进技术对数据质量诊断。</w:t>
      </w:r>
    </w:p>
    <w:p w14:paraId="15CD5BC4">
      <w:pPr>
        <w:pStyle w:val="166"/>
        <w:rPr>
          <w:rFonts w:hint="eastAsia"/>
          <w:lang w:val="en-US" w:eastAsia="zh-CN"/>
        </w:rPr>
      </w:pPr>
      <w:r>
        <w:rPr>
          <w:rFonts w:hint="eastAsia"/>
          <w:lang w:val="en-US" w:eastAsia="zh-CN"/>
        </w:rPr>
        <w:t>支持对错误数据、无效数据、重复数据等异常数据的处理，支持对缺失数据进行填补；支持对数据不一致性进行监测。</w:t>
      </w:r>
    </w:p>
    <w:p w14:paraId="2FAA0892">
      <w:pPr>
        <w:pStyle w:val="106"/>
        <w:bidi w:val="0"/>
        <w:rPr>
          <w:rFonts w:hint="eastAsia"/>
          <w:lang w:val="en-US" w:eastAsia="zh-CN"/>
        </w:rPr>
      </w:pPr>
      <w:bookmarkStart w:id="57" w:name="_Toc9763"/>
      <w:r>
        <w:rPr>
          <w:rFonts w:hint="eastAsia"/>
          <w:lang w:val="en-US" w:eastAsia="zh-CN"/>
        </w:rPr>
        <w:t>阈值管理</w:t>
      </w:r>
      <w:bookmarkEnd w:id="57"/>
    </w:p>
    <w:p w14:paraId="0C1D96B0">
      <w:pPr>
        <w:pStyle w:val="166"/>
        <w:rPr>
          <w:rFonts w:hint="eastAsia"/>
          <w:lang w:val="en-US" w:eastAsia="zh-CN"/>
        </w:rPr>
      </w:pPr>
      <w:r>
        <w:rPr>
          <w:rFonts w:hint="eastAsia"/>
          <w:lang w:val="en-US" w:eastAsia="zh-CN"/>
        </w:rPr>
        <w:t>在数据分析过程中，当状态特征指标超越预设阈值触发风险事件时，系统应及时发出预警信息。</w:t>
      </w:r>
    </w:p>
    <w:p w14:paraId="52A207B0">
      <w:pPr>
        <w:pStyle w:val="166"/>
        <w:rPr>
          <w:rFonts w:hint="eastAsia"/>
          <w:lang w:val="en-US" w:eastAsia="zh-CN"/>
        </w:rPr>
      </w:pPr>
      <w:r>
        <w:rPr>
          <w:rFonts w:hint="eastAsia"/>
          <w:lang w:val="en-US" w:eastAsia="zh-CN"/>
        </w:rPr>
        <w:t>数据分析应根据实际情况，在试运行前预设健康安全风险事件的超限初始阈值。</w:t>
      </w:r>
    </w:p>
    <w:p w14:paraId="68E3A832">
      <w:pPr>
        <w:pStyle w:val="166"/>
        <w:rPr>
          <w:rFonts w:hint="eastAsia"/>
          <w:lang w:val="en-US" w:eastAsia="zh-CN"/>
        </w:rPr>
      </w:pPr>
      <w:r>
        <w:rPr>
          <w:rFonts w:hint="eastAsia"/>
          <w:lang w:val="en-US" w:eastAsia="zh-CN"/>
        </w:rPr>
        <w:t>超限阈值可根据设施结构健康度和技术状况进行调整。</w:t>
      </w:r>
    </w:p>
    <w:p w14:paraId="74544A0C">
      <w:pPr>
        <w:pStyle w:val="166"/>
        <w:rPr>
          <w:rFonts w:hint="eastAsia"/>
          <w:lang w:val="en-US" w:eastAsia="zh-CN"/>
        </w:rPr>
      </w:pPr>
      <w:r>
        <w:rPr>
          <w:rFonts w:hint="eastAsia"/>
          <w:lang w:val="en-US" w:eastAsia="zh-CN"/>
        </w:rPr>
        <w:t>对应于每项状态特征指标应设置超限阈值体系以实现风险事件的自动触发功能，超限阈值及其判据设置宜采用以下两种形式：</w:t>
      </w:r>
    </w:p>
    <w:p w14:paraId="62926015">
      <w:pPr>
        <w:pStyle w:val="175"/>
        <w:numPr>
          <w:ilvl w:val="0"/>
          <w:numId w:val="34"/>
        </w:numPr>
        <w:rPr>
          <w:rFonts w:hint="eastAsia"/>
          <w:lang w:val="en-US" w:eastAsia="zh-CN"/>
        </w:rPr>
      </w:pPr>
      <w:r>
        <w:rPr>
          <w:rFonts w:hint="eastAsia"/>
          <w:lang w:val="en-US" w:eastAsia="zh-CN"/>
        </w:rPr>
        <w:t>容许阈值：判断状态特征指标是否处于正常范围的单向阈值。状态特征指标超出容许阈值的级别可表征该项状态的风险程度；状态特征指标未超出容许阈值时，其间距也可大致表征该项状态的安全富余度；</w:t>
      </w:r>
    </w:p>
    <w:p w14:paraId="608D0A1C">
      <w:pPr>
        <w:pStyle w:val="175"/>
        <w:numPr>
          <w:ilvl w:val="0"/>
          <w:numId w:val="34"/>
        </w:numPr>
        <w:rPr>
          <w:rFonts w:hint="eastAsia"/>
          <w:lang w:val="en-US" w:eastAsia="zh-CN"/>
        </w:rPr>
      </w:pPr>
      <w:r>
        <w:rPr>
          <w:rFonts w:hint="eastAsia"/>
          <w:lang w:val="en-US" w:eastAsia="zh-CN"/>
        </w:rPr>
        <w:t>区间阈值：判断状态特征指标是否处于正常范围的双向阈值。基于监测数据是否在合理值附近或者在合理范围之内进行异常分析和判断。</w:t>
      </w:r>
    </w:p>
    <w:p w14:paraId="73AEB532">
      <w:pPr>
        <w:pStyle w:val="166"/>
        <w:rPr>
          <w:rFonts w:hint="eastAsia"/>
          <w:lang w:val="en-US" w:eastAsia="zh-CN"/>
        </w:rPr>
      </w:pPr>
      <w:r>
        <w:rPr>
          <w:rFonts w:hint="eastAsia"/>
          <w:lang w:val="en-US" w:eastAsia="zh-CN"/>
        </w:rPr>
        <w:t>以上两种阈值判据的表达式及说明见表1。</w:t>
      </w:r>
    </w:p>
    <w:p w14:paraId="763F2774">
      <w:pPr>
        <w:keepNext w:val="0"/>
        <w:keepLines w:val="0"/>
        <w:widowControl/>
        <w:suppressLineNumbers w:val="0"/>
        <w:jc w:val="center"/>
        <w:rPr>
          <w:rFonts w:hint="default"/>
          <w:lang w:val="en-US"/>
        </w:rPr>
      </w:pPr>
      <w:r>
        <w:rPr>
          <w:rFonts w:ascii="黑体" w:hAnsi="宋体" w:eastAsia="黑体" w:cs="黑体"/>
          <w:color w:val="000000"/>
          <w:kern w:val="0"/>
          <w:sz w:val="21"/>
          <w:szCs w:val="21"/>
          <w:lang w:val="en-US" w:eastAsia="zh-CN" w:bidi="ar"/>
        </w:rPr>
        <w:t>表</w:t>
      </w:r>
      <w:r>
        <w:rPr>
          <w:rFonts w:hint="eastAsia" w:ascii="黑体" w:hAnsi="宋体" w:eastAsia="黑体" w:cs="黑体"/>
          <w:color w:val="000000"/>
          <w:kern w:val="0"/>
          <w:sz w:val="21"/>
          <w:szCs w:val="21"/>
          <w:lang w:val="en-US" w:eastAsia="zh-CN" w:bidi="ar"/>
        </w:rPr>
        <w:t>1</w:t>
      </w:r>
      <w:r>
        <w:rPr>
          <w:rFonts w:ascii="黑体" w:hAnsi="宋体" w:eastAsia="黑体" w:cs="黑体"/>
          <w:color w:val="000000"/>
          <w:kern w:val="0"/>
          <w:sz w:val="21"/>
          <w:szCs w:val="21"/>
          <w:lang w:val="en-US" w:eastAsia="zh-CN" w:bidi="ar"/>
        </w:rPr>
        <w:t xml:space="preserve"> </w:t>
      </w:r>
      <w:r>
        <w:rPr>
          <w:rFonts w:hint="eastAsia" w:ascii="黑体" w:hAnsi="宋体" w:eastAsia="黑体" w:cs="黑体"/>
          <w:color w:val="000000"/>
          <w:kern w:val="0"/>
          <w:sz w:val="21"/>
          <w:szCs w:val="21"/>
          <w:lang w:val="en-US" w:eastAsia="zh-CN" w:bidi="ar"/>
        </w:rPr>
        <w:t>阈值判别形式</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
        <w:gridCol w:w="2013"/>
        <w:gridCol w:w="1937"/>
        <w:gridCol w:w="4677"/>
      </w:tblGrid>
      <w:tr w14:paraId="21B74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943" w:type="dxa"/>
            <w:tcBorders>
              <w:top w:val="single" w:color="000000" w:sz="12" w:space="0"/>
              <w:left w:val="single" w:color="000000" w:sz="12" w:space="0"/>
              <w:bottom w:val="single" w:color="000000" w:sz="4" w:space="0"/>
              <w:right w:val="single" w:color="000000" w:sz="4" w:space="0"/>
              <w:tl2br w:val="nil"/>
            </w:tcBorders>
            <w:shd w:val="clear" w:color="auto" w:fill="FFFFFF"/>
          </w:tcPr>
          <w:p w14:paraId="7FCABB28">
            <w:pPr>
              <w:pStyle w:val="57"/>
              <w:ind w:left="0" w:leftChars="0" w:firstLine="0" w:firstLineChars="0"/>
              <w:jc w:val="center"/>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序号</w:t>
            </w:r>
          </w:p>
        </w:tc>
        <w:tc>
          <w:tcPr>
            <w:tcW w:w="2013" w:type="dxa"/>
            <w:tcBorders>
              <w:top w:val="single" w:color="000000" w:sz="12" w:space="0"/>
              <w:left w:val="single" w:color="000000" w:sz="4" w:space="0"/>
              <w:bottom w:val="single" w:color="000000" w:sz="4" w:space="0"/>
              <w:right w:val="single" w:color="000000" w:sz="4" w:space="0"/>
            </w:tcBorders>
            <w:shd w:val="clear" w:color="auto" w:fill="FFFFFF"/>
          </w:tcPr>
          <w:p w14:paraId="7915B483">
            <w:pPr>
              <w:pStyle w:val="57"/>
              <w:ind w:left="0" w:leftChars="0" w:firstLine="0" w:firstLineChars="0"/>
              <w:jc w:val="center"/>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类别</w:t>
            </w:r>
          </w:p>
        </w:tc>
        <w:tc>
          <w:tcPr>
            <w:tcW w:w="1937" w:type="dxa"/>
            <w:tcBorders>
              <w:top w:val="single" w:color="000000" w:sz="12" w:space="0"/>
              <w:left w:val="single" w:color="000000" w:sz="4" w:space="0"/>
              <w:bottom w:val="single" w:color="000000" w:sz="4" w:space="0"/>
              <w:right w:val="single" w:color="000000" w:sz="4" w:space="0"/>
            </w:tcBorders>
            <w:shd w:val="clear" w:color="auto" w:fill="FFFFFF"/>
          </w:tcPr>
          <w:p w14:paraId="2FC1B4D6">
            <w:pPr>
              <w:pStyle w:val="57"/>
              <w:ind w:left="0" w:leftChars="0" w:firstLine="0" w:firstLineChars="0"/>
              <w:jc w:val="center"/>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表达式</w:t>
            </w:r>
          </w:p>
        </w:tc>
        <w:tc>
          <w:tcPr>
            <w:tcW w:w="4677" w:type="dxa"/>
            <w:tcBorders>
              <w:top w:val="single" w:color="000000" w:sz="12" w:space="0"/>
              <w:left w:val="single" w:color="000000" w:sz="4" w:space="0"/>
              <w:bottom w:val="single" w:color="000000" w:sz="4" w:space="0"/>
              <w:right w:val="single" w:color="000000" w:sz="12" w:space="0"/>
            </w:tcBorders>
            <w:shd w:val="clear" w:color="auto" w:fill="FFFFFF"/>
          </w:tcPr>
          <w:p w14:paraId="5D667D14">
            <w:pPr>
              <w:pStyle w:val="57"/>
              <w:ind w:left="0" w:leftChars="0" w:firstLine="0" w:firstLineChars="0"/>
              <w:jc w:val="center"/>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阈值判定</w:t>
            </w:r>
          </w:p>
        </w:tc>
      </w:tr>
      <w:tr w14:paraId="3E60F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3" w:type="dxa"/>
            <w:tcBorders>
              <w:top w:val="single" w:color="000000" w:sz="4" w:space="0"/>
              <w:left w:val="single" w:color="000000" w:sz="12" w:space="0"/>
              <w:bottom w:val="single" w:color="000000" w:sz="4" w:space="0"/>
              <w:right w:val="single" w:color="000000" w:sz="4" w:space="0"/>
            </w:tcBorders>
            <w:shd w:val="clear" w:color="auto" w:fill="FFFFFF"/>
          </w:tcPr>
          <w:p w14:paraId="532793ED">
            <w:pPr>
              <w:pStyle w:val="57"/>
              <w:ind w:left="0" w:leftChars="0" w:firstLine="0" w:firstLineChars="0"/>
              <w:jc w:val="center"/>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1</w:t>
            </w:r>
          </w:p>
        </w:tc>
        <w:tc>
          <w:tcPr>
            <w:tcW w:w="2013" w:type="dxa"/>
            <w:tcBorders>
              <w:top w:val="single" w:color="000000" w:sz="4" w:space="0"/>
              <w:left w:val="single" w:color="000000" w:sz="4" w:space="0"/>
              <w:bottom w:val="single" w:color="000000" w:sz="4" w:space="0"/>
              <w:right w:val="single" w:color="000000" w:sz="4" w:space="0"/>
            </w:tcBorders>
            <w:shd w:val="clear" w:color="auto" w:fill="FFFFFF"/>
          </w:tcPr>
          <w:p w14:paraId="28355360">
            <w:pPr>
              <w:pStyle w:val="57"/>
              <w:ind w:left="0" w:leftChars="0" w:firstLine="0" w:firstLineChars="0"/>
              <w:jc w:val="center"/>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容许阈值</w:t>
            </w:r>
          </w:p>
        </w:tc>
        <w:tc>
          <w:tcPr>
            <w:tcW w:w="1937" w:type="dxa"/>
            <w:tcBorders>
              <w:top w:val="single" w:color="000000" w:sz="4" w:space="0"/>
              <w:left w:val="single" w:color="000000" w:sz="4" w:space="0"/>
              <w:bottom w:val="single" w:color="000000" w:sz="4" w:space="0"/>
              <w:right w:val="single" w:color="000000" w:sz="4" w:space="0"/>
            </w:tcBorders>
            <w:shd w:val="clear" w:color="auto" w:fill="FFFFFF"/>
          </w:tcPr>
          <w:p w14:paraId="5B3804AE">
            <w:pPr>
              <w:keepNext w:val="0"/>
              <w:keepLines w:val="0"/>
              <w:widowControl/>
              <w:suppressLineNumbers w:val="0"/>
              <w:jc w:val="center"/>
              <w:rPr>
                <w:rFonts w:hint="eastAsia"/>
                <w:b w:val="0"/>
                <w:i w:val="0"/>
                <w:iCs w:val="0"/>
                <w:color w:val="000000"/>
                <w:sz w:val="18"/>
                <w:szCs w:val="18"/>
                <w:vertAlign w:val="baseline"/>
                <w:lang w:val="en-US" w:eastAsia="zh-CN"/>
              </w:rPr>
            </w:pPr>
            <w:r>
              <w:rPr>
                <w:rFonts w:hint="eastAsia" w:ascii="宋体" w:hAnsi="宋体" w:eastAsia="宋体" w:cs="宋体"/>
                <w:b w:val="0"/>
                <w:i w:val="0"/>
                <w:iCs w:val="0"/>
                <w:color w:val="000000"/>
                <w:kern w:val="0"/>
                <w:sz w:val="18"/>
                <w:szCs w:val="18"/>
                <w:lang w:val="en-US" w:eastAsia="zh-CN" w:bidi="ar"/>
              </w:rPr>
              <w:t>D＜[D]或 D＞[D]</w:t>
            </w:r>
          </w:p>
        </w:tc>
        <w:tc>
          <w:tcPr>
            <w:tcW w:w="4677" w:type="dxa"/>
            <w:tcBorders>
              <w:top w:val="single" w:color="000000" w:sz="4" w:space="0"/>
              <w:left w:val="single" w:color="000000" w:sz="4" w:space="0"/>
              <w:bottom w:val="single" w:color="000000" w:sz="4" w:space="0"/>
              <w:right w:val="single" w:color="000000" w:sz="12" w:space="0"/>
            </w:tcBorders>
            <w:shd w:val="clear" w:color="auto" w:fill="FFFFFF"/>
          </w:tcPr>
          <w:p w14:paraId="22312D43">
            <w:pPr>
              <w:keepNext w:val="0"/>
              <w:keepLines w:val="0"/>
              <w:widowControl/>
              <w:suppressLineNumbers w:val="0"/>
              <w:jc w:val="left"/>
              <w:rPr>
                <w:rFonts w:hint="eastAsia"/>
                <w:b w:val="0"/>
                <w:color w:val="000000"/>
                <w:sz w:val="18"/>
                <w:szCs w:val="18"/>
                <w:vertAlign w:val="baseline"/>
                <w:lang w:val="en-US" w:eastAsia="zh-CN"/>
              </w:rPr>
            </w:pPr>
            <w:r>
              <w:rPr>
                <w:rFonts w:hint="eastAsia" w:ascii="宋体" w:hAnsi="宋体" w:eastAsia="宋体" w:cs="宋体"/>
                <w:b w:val="0"/>
                <w:color w:val="000000"/>
                <w:kern w:val="0"/>
                <w:sz w:val="18"/>
                <w:szCs w:val="18"/>
                <w:lang w:val="en-US" w:eastAsia="zh-CN" w:bidi="ar"/>
              </w:rPr>
              <w:t>单向判据，根据特征指标与容许阈值之间的差距，可判断其该项状态的风险程度或安全富余度</w:t>
            </w:r>
            <w:r>
              <w:rPr>
                <w:rFonts w:hint="eastAsia" w:ascii="宋体" w:hAnsi="宋体" w:cs="宋体"/>
                <w:b w:val="0"/>
                <w:color w:val="000000"/>
                <w:kern w:val="0"/>
                <w:sz w:val="18"/>
                <w:szCs w:val="18"/>
                <w:lang w:val="en-US" w:eastAsia="zh-CN" w:bidi="ar"/>
              </w:rPr>
              <w:t>。</w:t>
            </w:r>
          </w:p>
        </w:tc>
      </w:tr>
      <w:tr w14:paraId="63BC8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tcBorders>
              <w:top w:val="single" w:color="000000" w:sz="4" w:space="0"/>
              <w:left w:val="single" w:color="000000" w:sz="12" w:space="0"/>
              <w:bottom w:val="single" w:color="000000" w:sz="12" w:space="0"/>
              <w:right w:val="single" w:color="000000" w:sz="4" w:space="0"/>
            </w:tcBorders>
            <w:shd w:val="clear" w:color="auto" w:fill="FFFFFF"/>
          </w:tcPr>
          <w:p w14:paraId="2CD1DDDA">
            <w:pPr>
              <w:pStyle w:val="57"/>
              <w:ind w:left="0" w:leftChars="0" w:firstLine="0" w:firstLineChars="0"/>
              <w:jc w:val="center"/>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2</w:t>
            </w:r>
          </w:p>
        </w:tc>
        <w:tc>
          <w:tcPr>
            <w:tcW w:w="2013" w:type="dxa"/>
            <w:tcBorders>
              <w:top w:val="single" w:color="000000" w:sz="4" w:space="0"/>
              <w:left w:val="single" w:color="000000" w:sz="4" w:space="0"/>
              <w:bottom w:val="single" w:color="000000" w:sz="12" w:space="0"/>
              <w:right w:val="single" w:color="000000" w:sz="4" w:space="0"/>
            </w:tcBorders>
            <w:shd w:val="clear" w:color="auto" w:fill="FFFFFF"/>
          </w:tcPr>
          <w:p w14:paraId="53CB30AD">
            <w:pPr>
              <w:pStyle w:val="57"/>
              <w:ind w:left="0" w:leftChars="0" w:firstLine="0" w:firstLineChars="0"/>
              <w:jc w:val="center"/>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区间阈值</w:t>
            </w:r>
          </w:p>
        </w:tc>
        <w:tc>
          <w:tcPr>
            <w:tcW w:w="1937" w:type="dxa"/>
            <w:tcBorders>
              <w:top w:val="single" w:color="000000" w:sz="4" w:space="0"/>
              <w:left w:val="single" w:color="000000" w:sz="4" w:space="0"/>
              <w:bottom w:val="single" w:color="000000" w:sz="12" w:space="0"/>
              <w:right w:val="single" w:color="000000" w:sz="4" w:space="0"/>
            </w:tcBorders>
            <w:shd w:val="clear" w:color="auto" w:fill="FFFFFF"/>
          </w:tcPr>
          <w:p w14:paraId="4403E4E5">
            <w:pPr>
              <w:keepNext w:val="0"/>
              <w:keepLines w:val="0"/>
              <w:widowControl/>
              <w:suppressLineNumbers w:val="0"/>
              <w:jc w:val="center"/>
              <w:rPr>
                <w:b w:val="0"/>
                <w:i w:val="0"/>
                <w:iCs w:val="0"/>
                <w:color w:val="000000"/>
                <w:sz w:val="18"/>
                <w:szCs w:val="18"/>
              </w:rPr>
            </w:pPr>
            <w:r>
              <w:rPr>
                <w:rFonts w:hint="eastAsia" w:ascii="宋体" w:hAnsi="宋体" w:eastAsia="宋体" w:cs="宋体"/>
                <w:b w:val="0"/>
                <w:i w:val="0"/>
                <w:iCs w:val="0"/>
                <w:color w:val="000000"/>
                <w:kern w:val="0"/>
                <w:sz w:val="18"/>
                <w:szCs w:val="18"/>
                <w:lang w:val="en-US" w:eastAsia="zh-CN" w:bidi="ar"/>
              </w:rPr>
              <w:t>｜D-P｜＜Pd</w:t>
            </w:r>
          </w:p>
          <w:p w14:paraId="4B28A024">
            <w:pPr>
              <w:keepNext w:val="0"/>
              <w:keepLines w:val="0"/>
              <w:widowControl/>
              <w:suppressLineNumbers w:val="0"/>
              <w:jc w:val="center"/>
              <w:rPr>
                <w:rFonts w:hint="eastAsia"/>
                <w:b w:val="0"/>
                <w:i w:val="0"/>
                <w:iCs w:val="0"/>
                <w:color w:val="000000"/>
                <w:sz w:val="18"/>
                <w:szCs w:val="18"/>
                <w:vertAlign w:val="baseline"/>
                <w:lang w:val="en-US" w:eastAsia="zh-CN"/>
              </w:rPr>
            </w:pPr>
            <w:r>
              <w:rPr>
                <w:rFonts w:hint="eastAsia" w:ascii="宋体" w:hAnsi="宋体" w:eastAsia="宋体" w:cs="宋体"/>
                <w:b w:val="0"/>
                <w:i w:val="0"/>
                <w:iCs w:val="0"/>
                <w:color w:val="000000"/>
                <w:kern w:val="0"/>
                <w:sz w:val="18"/>
                <w:szCs w:val="18"/>
                <w:lang w:val="en-US" w:eastAsia="zh-CN" w:bidi="ar"/>
              </w:rPr>
              <w:t>P1＜D＜P2</w:t>
            </w:r>
          </w:p>
        </w:tc>
        <w:tc>
          <w:tcPr>
            <w:tcW w:w="4677" w:type="dxa"/>
            <w:tcBorders>
              <w:top w:val="single" w:color="000000" w:sz="4" w:space="0"/>
              <w:left w:val="single" w:color="000000" w:sz="4" w:space="0"/>
              <w:bottom w:val="single" w:color="000000" w:sz="12" w:space="0"/>
              <w:right w:val="single" w:color="000000" w:sz="12" w:space="0"/>
            </w:tcBorders>
            <w:shd w:val="clear" w:color="auto" w:fill="FFFFFF"/>
          </w:tcPr>
          <w:p w14:paraId="6DB2B8EC">
            <w:pPr>
              <w:keepNext w:val="0"/>
              <w:keepLines w:val="0"/>
              <w:widowControl/>
              <w:suppressLineNumbers w:val="0"/>
              <w:jc w:val="left"/>
              <w:rPr>
                <w:rFonts w:hint="eastAsia"/>
                <w:b w:val="0"/>
                <w:color w:val="000000"/>
                <w:sz w:val="18"/>
                <w:szCs w:val="18"/>
                <w:vertAlign w:val="baseline"/>
                <w:lang w:val="en-US" w:eastAsia="zh-CN"/>
              </w:rPr>
            </w:pPr>
            <w:r>
              <w:rPr>
                <w:rFonts w:hint="eastAsia" w:ascii="宋体" w:hAnsi="宋体" w:eastAsia="宋体" w:cs="宋体"/>
                <w:b w:val="0"/>
                <w:color w:val="000000"/>
                <w:kern w:val="0"/>
                <w:sz w:val="18"/>
                <w:szCs w:val="18"/>
                <w:lang w:val="en-US" w:eastAsia="zh-CN" w:bidi="ar"/>
              </w:rPr>
              <w:t>双向判据，根据特征指标超出合理区间的距离，可判断其该项状态的风险程度</w:t>
            </w:r>
          </w:p>
        </w:tc>
      </w:tr>
    </w:tbl>
    <w:p w14:paraId="0E0310BC">
      <w:pPr>
        <w:pStyle w:val="180"/>
        <w:bidi w:val="0"/>
        <w:rPr>
          <w:rFonts w:hint="eastAsia"/>
        </w:rPr>
      </w:pPr>
      <w:r>
        <w:rPr>
          <w:rFonts w:hint="eastAsia"/>
          <w:lang w:val="en-US" w:eastAsia="zh-CN"/>
        </w:rPr>
        <w:t>D—状态特征指标；[D]—容许阈值；P—状态理想值；</w:t>
      </w:r>
      <w:r>
        <w:rPr>
          <w:rFonts w:hint="eastAsia" w:ascii="宋体" w:hAnsi="宋体" w:eastAsia="宋体" w:cs="宋体"/>
          <w:i w:val="0"/>
          <w:iCs w:val="0"/>
          <w:color w:val="000000"/>
          <w:kern w:val="0"/>
          <w:sz w:val="18"/>
          <w:szCs w:val="18"/>
          <w:lang w:val="en-US" w:eastAsia="zh-CN" w:bidi="ar"/>
        </w:rPr>
        <w:t>P</w:t>
      </w:r>
      <w:r>
        <w:rPr>
          <w:rFonts w:hint="eastAsia" w:ascii="宋体" w:hAnsi="宋体" w:eastAsia="宋体" w:cs="宋体"/>
          <w:i w:val="0"/>
          <w:iCs w:val="0"/>
          <w:color w:val="000000"/>
          <w:kern w:val="0"/>
          <w:sz w:val="9"/>
          <w:szCs w:val="9"/>
          <w:lang w:val="en-US" w:eastAsia="zh-CN" w:bidi="ar"/>
        </w:rPr>
        <w:t>d</w:t>
      </w:r>
      <w:r>
        <w:rPr>
          <w:rFonts w:hint="eastAsia"/>
          <w:i w:val="0"/>
          <w:iCs w:val="0"/>
          <w:lang w:val="en-US" w:eastAsia="zh-CN"/>
        </w:rPr>
        <w:t>—区间阈值；</w:t>
      </w:r>
      <w:r>
        <w:rPr>
          <w:rFonts w:hint="eastAsia" w:ascii="宋体" w:hAnsi="宋体" w:eastAsia="宋体" w:cs="宋体"/>
          <w:i w:val="0"/>
          <w:iCs w:val="0"/>
          <w:color w:val="000000"/>
          <w:kern w:val="0"/>
          <w:sz w:val="18"/>
          <w:szCs w:val="18"/>
          <w:lang w:val="en-US" w:eastAsia="zh-CN" w:bidi="ar"/>
        </w:rPr>
        <w:t>P</w:t>
      </w:r>
      <w:r>
        <w:rPr>
          <w:rFonts w:hint="eastAsia" w:ascii="宋体" w:hAnsi="宋体" w:eastAsia="宋体" w:cs="宋体"/>
          <w:i w:val="0"/>
          <w:iCs w:val="0"/>
          <w:color w:val="000000"/>
          <w:kern w:val="0"/>
          <w:sz w:val="9"/>
          <w:szCs w:val="9"/>
          <w:lang w:val="en-US" w:eastAsia="zh-CN" w:bidi="ar"/>
        </w:rPr>
        <w:t>1</w:t>
      </w:r>
      <w:r>
        <w:rPr>
          <w:rFonts w:hint="eastAsia"/>
          <w:i w:val="0"/>
          <w:iCs w:val="0"/>
          <w:lang w:val="en-US" w:eastAsia="zh-CN"/>
        </w:rPr>
        <w:t>—区间下限值；</w:t>
      </w:r>
      <w:r>
        <w:rPr>
          <w:rFonts w:hint="eastAsia" w:ascii="宋体" w:hAnsi="宋体" w:eastAsia="宋体" w:cs="宋体"/>
          <w:i w:val="0"/>
          <w:iCs w:val="0"/>
          <w:color w:val="000000"/>
          <w:kern w:val="0"/>
          <w:sz w:val="18"/>
          <w:szCs w:val="18"/>
          <w:lang w:val="en-US" w:eastAsia="zh-CN" w:bidi="ar"/>
        </w:rPr>
        <w:t>P</w:t>
      </w:r>
      <w:r>
        <w:rPr>
          <w:rFonts w:hint="eastAsia" w:ascii="宋体" w:hAnsi="宋体" w:eastAsia="宋体" w:cs="宋体"/>
          <w:i w:val="0"/>
          <w:iCs w:val="0"/>
          <w:color w:val="000000"/>
          <w:kern w:val="0"/>
          <w:sz w:val="9"/>
          <w:szCs w:val="9"/>
          <w:lang w:val="en-US" w:eastAsia="zh-CN" w:bidi="ar"/>
        </w:rPr>
        <w:t>1</w:t>
      </w:r>
      <w:r>
        <w:rPr>
          <w:rFonts w:hint="eastAsia"/>
          <w:i w:val="0"/>
          <w:iCs w:val="0"/>
          <w:lang w:val="en-US" w:eastAsia="zh-CN"/>
        </w:rPr>
        <w:t>—</w:t>
      </w:r>
      <w:r>
        <w:rPr>
          <w:rFonts w:hint="eastAsia"/>
          <w:lang w:val="en-US" w:eastAsia="zh-CN"/>
        </w:rPr>
        <w:t>区间上限值。</w:t>
      </w:r>
    </w:p>
    <w:p w14:paraId="51C78850">
      <w:pPr>
        <w:pStyle w:val="106"/>
        <w:bidi w:val="0"/>
        <w:rPr>
          <w:rFonts w:hint="eastAsia"/>
          <w:lang w:val="en-US" w:eastAsia="zh-CN"/>
        </w:rPr>
      </w:pPr>
      <w:bookmarkStart w:id="58" w:name="_Toc16707"/>
      <w:r>
        <w:rPr>
          <w:rFonts w:hint="eastAsia"/>
          <w:lang w:val="en-US" w:eastAsia="zh-CN"/>
        </w:rPr>
        <w:t>船闸数据分析</w:t>
      </w:r>
      <w:bookmarkEnd w:id="58"/>
    </w:p>
    <w:p w14:paraId="5D3AA026">
      <w:pPr>
        <w:pStyle w:val="166"/>
        <w:rPr>
          <w:rFonts w:hint="default"/>
          <w:lang w:val="en-US" w:eastAsia="zh-CN"/>
        </w:rPr>
      </w:pPr>
      <w:r>
        <w:rPr>
          <w:rFonts w:hint="eastAsia"/>
          <w:lang w:val="en-US" w:eastAsia="zh-CN"/>
        </w:rPr>
        <w:t>船闸数据分析的状态特征指标包括位移、倾斜、应力、裂缝、墙后土压力、水压力、振动加速度以及钢结构耐久性等。</w:t>
      </w:r>
    </w:p>
    <w:p w14:paraId="6D116967">
      <w:pPr>
        <w:pStyle w:val="166"/>
        <w:rPr>
          <w:rFonts w:hint="eastAsia"/>
          <w:lang w:val="en-US" w:eastAsia="zh-CN"/>
        </w:rPr>
      </w:pPr>
      <w:r>
        <w:rPr>
          <w:rFonts w:hint="eastAsia"/>
          <w:lang w:val="en-US" w:eastAsia="zh-CN"/>
        </w:rPr>
        <w:t>船闸每项状态特征指标对应的超限阈值判据可分为1至3级设置，常见状态特征指标对应的超限初始阈值设置宜参照附录B。</w:t>
      </w:r>
    </w:p>
    <w:p w14:paraId="2D9B5401">
      <w:pPr>
        <w:pStyle w:val="106"/>
        <w:bidi w:val="0"/>
        <w:rPr>
          <w:rFonts w:hint="eastAsia"/>
          <w:lang w:val="en-US" w:eastAsia="zh-CN"/>
        </w:rPr>
      </w:pPr>
      <w:bookmarkStart w:id="59" w:name="_Toc27290"/>
      <w:r>
        <w:rPr>
          <w:rFonts w:hint="eastAsia"/>
          <w:lang w:val="en-US" w:eastAsia="zh-CN"/>
        </w:rPr>
        <w:t>码头数据分析</w:t>
      </w:r>
      <w:bookmarkEnd w:id="59"/>
    </w:p>
    <w:p w14:paraId="693DFED4">
      <w:pPr>
        <w:pStyle w:val="166"/>
        <w:rPr>
          <w:rFonts w:hint="default"/>
          <w:lang w:val="en-US" w:eastAsia="zh-CN"/>
        </w:rPr>
      </w:pPr>
      <w:r>
        <w:rPr>
          <w:rFonts w:hint="eastAsia"/>
          <w:lang w:val="en-US" w:eastAsia="zh-CN"/>
        </w:rPr>
        <w:t>码头数据分析的状态特征指标包括位移、倾斜、应力、裂缝、墙后土压力、基底孔隙水压力、墙后地下水位、水压力、振动加速度、混凝土耐久性以及钢结构耐久性等。</w:t>
      </w:r>
    </w:p>
    <w:p w14:paraId="6ECF43B1">
      <w:pPr>
        <w:pStyle w:val="166"/>
        <w:rPr>
          <w:rFonts w:hint="eastAsia"/>
          <w:lang w:val="en-US" w:eastAsia="zh-CN"/>
        </w:rPr>
      </w:pPr>
      <w:r>
        <w:rPr>
          <w:rFonts w:hint="eastAsia"/>
          <w:lang w:val="en-US" w:eastAsia="zh-CN"/>
        </w:rPr>
        <w:t>船闸每项状态特征指标对应的超限阈值判据可分为1至3级设置，常见状态特征指标对应的超限初始阈值设置宜参照附录C 。</w:t>
      </w:r>
    </w:p>
    <w:p w14:paraId="388CF021">
      <w:pPr>
        <w:pStyle w:val="106"/>
        <w:bidi w:val="0"/>
        <w:rPr>
          <w:rFonts w:hint="eastAsia"/>
          <w:lang w:val="en-US" w:eastAsia="zh-CN"/>
        </w:rPr>
      </w:pPr>
      <w:bookmarkStart w:id="60" w:name="_Toc16157"/>
      <w:r>
        <w:rPr>
          <w:rFonts w:hint="eastAsia"/>
          <w:lang w:val="en-US" w:eastAsia="zh-CN"/>
        </w:rPr>
        <w:t>跨闸桥梁数据分析</w:t>
      </w:r>
      <w:bookmarkEnd w:id="60"/>
    </w:p>
    <w:p w14:paraId="6B1DA76B">
      <w:pPr>
        <w:pStyle w:val="166"/>
        <w:rPr>
          <w:rFonts w:hint="default"/>
          <w:lang w:val="en-US" w:eastAsia="zh-CN"/>
        </w:rPr>
      </w:pPr>
      <w:r>
        <w:rPr>
          <w:rFonts w:hint="eastAsia"/>
          <w:lang w:val="en-US" w:eastAsia="zh-CN"/>
        </w:rPr>
        <w:t>跨闸桥梁分析的状态特征指标包括位移、倾斜、应力、裂缝、、主梁振动加速度、耐久度腐蚀、构件内部温湿度以及水文气象数据等。</w:t>
      </w:r>
    </w:p>
    <w:p w14:paraId="64707D94">
      <w:pPr>
        <w:pStyle w:val="166"/>
        <w:rPr>
          <w:rFonts w:hint="eastAsia"/>
          <w:lang w:val="en-US" w:eastAsia="zh-CN"/>
        </w:rPr>
      </w:pPr>
      <w:r>
        <w:rPr>
          <w:rFonts w:hint="eastAsia"/>
          <w:lang w:val="en-US" w:eastAsia="zh-CN"/>
        </w:rPr>
        <w:t>船闸每项状态特征指标对应的超限阈值判据可分为1至3级设置，常见状态特征指标对应的超限初始阈值设置宜参照附录D。</w:t>
      </w:r>
    </w:p>
    <w:p w14:paraId="4DD1C736">
      <w:pPr>
        <w:pStyle w:val="105"/>
        <w:spacing w:before="312" w:after="312"/>
        <w:rPr>
          <w:rFonts w:hint="default"/>
          <w:szCs w:val="21"/>
          <w:lang w:val="en-US" w:eastAsia="zh-CN"/>
        </w:rPr>
      </w:pPr>
      <w:bookmarkStart w:id="61" w:name="_Toc19952"/>
      <w:r>
        <w:rPr>
          <w:rFonts w:hint="eastAsia"/>
          <w:szCs w:val="21"/>
          <w:lang w:val="en-US" w:eastAsia="zh-CN"/>
        </w:rPr>
        <w:t>预警管理</w:t>
      </w:r>
      <w:bookmarkEnd w:id="61"/>
    </w:p>
    <w:p w14:paraId="5E88AE08">
      <w:pPr>
        <w:pStyle w:val="106"/>
        <w:bidi w:val="0"/>
        <w:rPr>
          <w:rFonts w:hint="default"/>
          <w:lang w:val="en-US" w:eastAsia="zh-CN"/>
        </w:rPr>
      </w:pPr>
      <w:bookmarkStart w:id="62" w:name="_Toc17043"/>
      <w:r>
        <w:rPr>
          <w:rFonts w:hint="eastAsia"/>
          <w:lang w:val="en-US" w:eastAsia="zh-CN"/>
        </w:rPr>
        <w:t>一般规定</w:t>
      </w:r>
      <w:bookmarkEnd w:id="62"/>
    </w:p>
    <w:p w14:paraId="77C17FFA">
      <w:pPr>
        <w:pStyle w:val="166"/>
        <w:rPr>
          <w:rFonts w:hint="eastAsia"/>
          <w:lang w:val="en-US" w:eastAsia="zh-CN"/>
        </w:rPr>
      </w:pPr>
      <w:r>
        <w:rPr>
          <w:rFonts w:hint="eastAsia"/>
          <w:lang w:val="en-US" w:eastAsia="zh-CN"/>
        </w:rPr>
        <w:t>预警管理包含预警等级管理和预警发布管理，并可联动应急管理子系统进行处置。</w:t>
      </w:r>
    </w:p>
    <w:p w14:paraId="12564298">
      <w:pPr>
        <w:pStyle w:val="106"/>
        <w:bidi w:val="0"/>
        <w:rPr>
          <w:rFonts w:hint="default"/>
          <w:lang w:val="en-US" w:eastAsia="zh-CN"/>
        </w:rPr>
      </w:pPr>
      <w:bookmarkStart w:id="63" w:name="_Toc28355"/>
      <w:r>
        <w:rPr>
          <w:rFonts w:hint="eastAsia"/>
          <w:lang w:val="en-US" w:eastAsia="zh-CN"/>
        </w:rPr>
        <w:t>预警等级管理</w:t>
      </w:r>
      <w:bookmarkEnd w:id="63"/>
    </w:p>
    <w:p w14:paraId="4389CE22">
      <w:pPr>
        <w:pStyle w:val="166"/>
        <w:rPr>
          <w:rFonts w:hint="eastAsia"/>
          <w:lang w:val="en-US" w:eastAsia="zh-CN"/>
        </w:rPr>
      </w:pPr>
      <w:r>
        <w:rPr>
          <w:rFonts w:hint="eastAsia"/>
          <w:lang w:val="en-US" w:eastAsia="zh-CN"/>
        </w:rPr>
        <w:t>预警等级直接对应内河水运设施结构健康度等级，宜设为绿色、黄色和红色三个级别。</w:t>
      </w:r>
    </w:p>
    <w:p w14:paraId="2410E1F0">
      <w:pPr>
        <w:pStyle w:val="166"/>
        <w:rPr>
          <w:rFonts w:hint="eastAsia"/>
          <w:lang w:val="en-US" w:eastAsia="zh-CN"/>
        </w:rPr>
      </w:pPr>
      <w:r>
        <w:rPr>
          <w:rFonts w:hint="eastAsia"/>
          <w:lang w:val="en-US" w:eastAsia="zh-CN"/>
        </w:rPr>
        <w:t>预警等级的升降级模式应包括系统自动触发和人工调整两种，自动触发应根据系统预设的判别依据调整预警级别。</w:t>
      </w:r>
    </w:p>
    <w:p w14:paraId="75729309">
      <w:pPr>
        <w:pStyle w:val="166"/>
        <w:rPr>
          <w:rFonts w:hint="eastAsia"/>
          <w:lang w:val="en-US" w:eastAsia="zh-CN"/>
        </w:rPr>
      </w:pPr>
      <w:r>
        <w:rPr>
          <w:rFonts w:hint="eastAsia"/>
          <w:lang w:val="en-US" w:eastAsia="zh-CN"/>
        </w:rPr>
        <w:t>内河水运设施健康监测各级预警等级、触发模式、判别依据及对应的健康安全状态汇总见表2。</w:t>
      </w:r>
    </w:p>
    <w:p w14:paraId="41D3A4A1">
      <w:pPr>
        <w:keepNext w:val="0"/>
        <w:keepLines w:val="0"/>
        <w:widowControl/>
        <w:suppressLineNumbers w:val="0"/>
        <w:jc w:val="center"/>
        <w:rPr>
          <w:rFonts w:hint="default"/>
          <w:lang w:val="en-US"/>
        </w:rPr>
      </w:pPr>
      <w:r>
        <w:rPr>
          <w:rFonts w:ascii="黑体" w:hAnsi="宋体" w:eastAsia="黑体" w:cs="黑体"/>
          <w:color w:val="000000"/>
          <w:kern w:val="0"/>
          <w:sz w:val="21"/>
          <w:szCs w:val="21"/>
          <w:lang w:val="en-US" w:eastAsia="zh-CN" w:bidi="ar"/>
        </w:rPr>
        <w:t>表</w:t>
      </w:r>
      <w:r>
        <w:rPr>
          <w:rFonts w:hint="eastAsia" w:ascii="黑体" w:hAnsi="宋体" w:eastAsia="黑体" w:cs="黑体"/>
          <w:color w:val="000000"/>
          <w:kern w:val="0"/>
          <w:sz w:val="21"/>
          <w:szCs w:val="21"/>
          <w:lang w:val="en-US" w:eastAsia="zh-CN" w:bidi="ar"/>
        </w:rPr>
        <w:t>2</w:t>
      </w:r>
      <w:r>
        <w:rPr>
          <w:rFonts w:ascii="黑体" w:hAnsi="宋体" w:eastAsia="黑体" w:cs="黑体"/>
          <w:color w:val="000000"/>
          <w:kern w:val="0"/>
          <w:sz w:val="21"/>
          <w:szCs w:val="21"/>
          <w:lang w:val="en-US" w:eastAsia="zh-CN" w:bidi="ar"/>
        </w:rPr>
        <w:t xml:space="preserve"> </w:t>
      </w:r>
      <w:r>
        <w:rPr>
          <w:rFonts w:hint="eastAsia" w:ascii="黑体" w:hAnsi="宋体" w:eastAsia="黑体" w:cs="黑体"/>
          <w:color w:val="000000"/>
          <w:kern w:val="0"/>
          <w:sz w:val="21"/>
          <w:szCs w:val="21"/>
          <w:lang w:val="en-US" w:eastAsia="zh-CN" w:bidi="ar"/>
        </w:rPr>
        <w:t>预警级别及其对应的技术状态、触发模式和判别依据表</w:t>
      </w:r>
    </w:p>
    <w:tbl>
      <w:tblPr>
        <w:tblStyle w:val="28"/>
        <w:tblW w:w="9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1164"/>
        <w:gridCol w:w="984"/>
        <w:gridCol w:w="1050"/>
        <w:gridCol w:w="3650"/>
        <w:gridCol w:w="1964"/>
      </w:tblGrid>
      <w:tr w14:paraId="002F2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Borders>
              <w:top w:val="single" w:color="000000" w:sz="12" w:space="0"/>
              <w:left w:val="single" w:color="000000" w:sz="12" w:space="0"/>
              <w:bottom w:val="single" w:color="000000" w:sz="4" w:space="0"/>
              <w:right w:val="single" w:color="000000" w:sz="4" w:space="0"/>
              <w:tl2br w:val="nil"/>
            </w:tcBorders>
            <w:shd w:val="clear" w:color="auto" w:fill="FFFFFF"/>
          </w:tcPr>
          <w:p w14:paraId="12649E2D">
            <w:pPr>
              <w:pStyle w:val="166"/>
              <w:numPr>
                <w:ilvl w:val="3"/>
                <w:numId w:val="0"/>
              </w:numPr>
              <w:jc w:val="center"/>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序号</w:t>
            </w:r>
          </w:p>
        </w:tc>
        <w:tc>
          <w:tcPr>
            <w:tcW w:w="1164" w:type="dxa"/>
            <w:tcBorders>
              <w:top w:val="single" w:color="000000" w:sz="12" w:space="0"/>
              <w:left w:val="single" w:color="000000" w:sz="4" w:space="0"/>
              <w:bottom w:val="single" w:color="000000" w:sz="4" w:space="0"/>
              <w:right w:val="single" w:color="000000" w:sz="4" w:space="0"/>
            </w:tcBorders>
            <w:shd w:val="clear" w:color="auto" w:fill="FFFFFF"/>
            <w:vAlign w:val="top"/>
          </w:tcPr>
          <w:p w14:paraId="529FEF66">
            <w:pPr>
              <w:pStyle w:val="166"/>
              <w:numPr>
                <w:ilvl w:val="3"/>
                <w:numId w:val="0"/>
              </w:numPr>
              <w:ind w:left="0" w:leftChars="0" w:firstLine="0" w:firstLineChars="0"/>
              <w:jc w:val="center"/>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健康度等级</w:t>
            </w:r>
          </w:p>
        </w:tc>
        <w:tc>
          <w:tcPr>
            <w:tcW w:w="984" w:type="dxa"/>
            <w:tcBorders>
              <w:top w:val="single" w:color="000000" w:sz="12" w:space="0"/>
              <w:left w:val="single" w:color="000000" w:sz="4" w:space="0"/>
              <w:bottom w:val="single" w:color="000000" w:sz="4" w:space="0"/>
              <w:right w:val="single" w:color="000000" w:sz="4" w:space="0"/>
            </w:tcBorders>
            <w:shd w:val="clear" w:color="auto" w:fill="FFFFFF"/>
            <w:vAlign w:val="top"/>
          </w:tcPr>
          <w:p w14:paraId="5BA504D3">
            <w:pPr>
              <w:pStyle w:val="166"/>
              <w:numPr>
                <w:ilvl w:val="3"/>
                <w:numId w:val="0"/>
              </w:numPr>
              <w:ind w:left="0" w:leftChars="0" w:firstLine="0" w:firstLineChars="0"/>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预警等级</w:t>
            </w:r>
          </w:p>
        </w:tc>
        <w:tc>
          <w:tcPr>
            <w:tcW w:w="1050" w:type="dxa"/>
            <w:tcBorders>
              <w:top w:val="single" w:color="000000" w:sz="12" w:space="0"/>
              <w:left w:val="single" w:color="000000" w:sz="4" w:space="0"/>
              <w:bottom w:val="single" w:color="000000" w:sz="4" w:space="0"/>
              <w:right w:val="single" w:color="000000" w:sz="4" w:space="0"/>
            </w:tcBorders>
            <w:shd w:val="clear" w:color="auto" w:fill="FFFFFF"/>
            <w:vAlign w:val="top"/>
          </w:tcPr>
          <w:p w14:paraId="5C8833DA">
            <w:pPr>
              <w:pStyle w:val="166"/>
              <w:numPr>
                <w:ilvl w:val="3"/>
                <w:numId w:val="0"/>
              </w:numPr>
              <w:ind w:left="0" w:leftChars="0" w:firstLine="0" w:firstLineChars="0"/>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触发模式</w:t>
            </w:r>
          </w:p>
        </w:tc>
        <w:tc>
          <w:tcPr>
            <w:tcW w:w="3650" w:type="dxa"/>
            <w:tcBorders>
              <w:top w:val="single" w:color="000000" w:sz="12" w:space="0"/>
              <w:left w:val="single" w:color="000000" w:sz="4" w:space="0"/>
              <w:bottom w:val="single" w:color="000000" w:sz="4" w:space="0"/>
              <w:right w:val="single" w:color="000000" w:sz="4" w:space="0"/>
            </w:tcBorders>
            <w:shd w:val="clear" w:color="auto" w:fill="FFFFFF"/>
            <w:vAlign w:val="top"/>
          </w:tcPr>
          <w:p w14:paraId="0E2E2C46">
            <w:pPr>
              <w:pStyle w:val="166"/>
              <w:numPr>
                <w:ilvl w:val="3"/>
                <w:numId w:val="0"/>
              </w:numPr>
              <w:ind w:left="0" w:leftChars="0" w:firstLine="0" w:firstLineChars="0"/>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初始判别依据</w:t>
            </w:r>
          </w:p>
        </w:tc>
        <w:tc>
          <w:tcPr>
            <w:tcW w:w="1964" w:type="dxa"/>
            <w:tcBorders>
              <w:top w:val="single" w:color="000000" w:sz="12" w:space="0"/>
              <w:left w:val="single" w:color="000000" w:sz="4" w:space="0"/>
              <w:bottom w:val="single" w:color="000000" w:sz="4" w:space="0"/>
              <w:right w:val="single" w:color="000000" w:sz="12" w:space="0"/>
            </w:tcBorders>
            <w:shd w:val="clear" w:color="auto" w:fill="FFFFFF"/>
            <w:vAlign w:val="top"/>
          </w:tcPr>
          <w:p w14:paraId="1B8A06E5">
            <w:pPr>
              <w:pStyle w:val="166"/>
              <w:numPr>
                <w:ilvl w:val="3"/>
                <w:numId w:val="0"/>
              </w:numPr>
              <w:ind w:left="0" w:leftChars="0" w:firstLine="0" w:firstLineChars="0"/>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备注</w:t>
            </w:r>
          </w:p>
        </w:tc>
      </w:tr>
      <w:tr w14:paraId="2A00B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Borders>
              <w:top w:val="single" w:color="000000" w:sz="4" w:space="0"/>
              <w:left w:val="single" w:color="000000" w:sz="12" w:space="0"/>
              <w:bottom w:val="single" w:color="000000" w:sz="4" w:space="0"/>
              <w:right w:val="single" w:color="000000" w:sz="4" w:space="0"/>
            </w:tcBorders>
            <w:shd w:val="clear" w:color="auto" w:fill="FFFFFF"/>
          </w:tcPr>
          <w:p w14:paraId="198FA7E6">
            <w:pPr>
              <w:pStyle w:val="166"/>
              <w:numPr>
                <w:ilvl w:val="3"/>
                <w:numId w:val="0"/>
              </w:numPr>
              <w:jc w:val="center"/>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1</w:t>
            </w:r>
          </w:p>
        </w:tc>
        <w:tc>
          <w:tcPr>
            <w:tcW w:w="1164" w:type="dxa"/>
            <w:tcBorders>
              <w:top w:val="single" w:color="000000" w:sz="4" w:space="0"/>
              <w:left w:val="single" w:color="000000" w:sz="4" w:space="0"/>
              <w:bottom w:val="single" w:color="000000" w:sz="4" w:space="0"/>
              <w:right w:val="single" w:color="000000" w:sz="4" w:space="0"/>
            </w:tcBorders>
            <w:shd w:val="clear" w:color="auto" w:fill="FFFFFF"/>
            <w:vAlign w:val="top"/>
          </w:tcPr>
          <w:p w14:paraId="632205B6">
            <w:pPr>
              <w:pStyle w:val="166"/>
              <w:numPr>
                <w:ilvl w:val="3"/>
                <w:numId w:val="0"/>
              </w:numPr>
              <w:ind w:left="0" w:leftChars="0" w:firstLine="0" w:firstLineChars="0"/>
              <w:jc w:val="center"/>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完好</w:t>
            </w:r>
          </w:p>
        </w:tc>
        <w:tc>
          <w:tcPr>
            <w:tcW w:w="984" w:type="dxa"/>
            <w:tcBorders>
              <w:top w:val="single" w:color="000000" w:sz="4" w:space="0"/>
              <w:left w:val="single" w:color="000000" w:sz="4" w:space="0"/>
              <w:bottom w:val="single" w:color="000000" w:sz="4" w:space="0"/>
              <w:right w:val="single" w:color="000000" w:sz="4" w:space="0"/>
            </w:tcBorders>
            <w:shd w:val="clear" w:color="auto" w:fill="FFFFFF"/>
            <w:vAlign w:val="top"/>
          </w:tcPr>
          <w:p w14:paraId="560B6D05">
            <w:pPr>
              <w:pStyle w:val="166"/>
              <w:numPr>
                <w:ilvl w:val="3"/>
                <w:numId w:val="0"/>
              </w:numPr>
              <w:ind w:left="0" w:leftChars="0" w:firstLine="0" w:firstLineChars="0"/>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绿色安全</w:t>
            </w:r>
          </w:p>
        </w:tc>
        <w:tc>
          <w:tcPr>
            <w:tcW w:w="1050" w:type="dxa"/>
            <w:tcBorders>
              <w:top w:val="single" w:color="000000" w:sz="4" w:space="0"/>
              <w:left w:val="single" w:color="000000" w:sz="4" w:space="0"/>
              <w:bottom w:val="single" w:color="000000" w:sz="4" w:space="0"/>
              <w:right w:val="single" w:color="000000" w:sz="4" w:space="0"/>
            </w:tcBorders>
            <w:shd w:val="clear" w:color="auto" w:fill="FFFFFF"/>
            <w:vAlign w:val="top"/>
          </w:tcPr>
          <w:p w14:paraId="018A43D3">
            <w:pPr>
              <w:pStyle w:val="166"/>
              <w:numPr>
                <w:ilvl w:val="3"/>
                <w:numId w:val="0"/>
              </w:numPr>
              <w:ind w:left="0" w:leftChars="0" w:firstLine="0" w:firstLineChars="0"/>
              <w:rPr>
                <w:rFonts w:hint="eastAsia"/>
                <w:b w:val="0"/>
                <w:color w:val="000000"/>
                <w:sz w:val="18"/>
                <w:szCs w:val="18"/>
                <w:vertAlign w:val="baseline"/>
                <w:lang w:val="en-US" w:eastAsia="zh-CN"/>
              </w:rPr>
            </w:pPr>
            <w:r>
              <w:rPr>
                <w:rFonts w:hint="eastAsia"/>
                <w:b w:val="0"/>
                <w:color w:val="000000"/>
                <w:sz w:val="18"/>
                <w:szCs w:val="18"/>
                <w:vertAlign w:val="baseline"/>
                <w:lang w:val="en-US" w:eastAsia="zh-CN"/>
              </w:rPr>
              <w:t>/</w:t>
            </w:r>
          </w:p>
        </w:tc>
        <w:tc>
          <w:tcPr>
            <w:tcW w:w="3650" w:type="dxa"/>
            <w:tcBorders>
              <w:top w:val="single" w:color="000000" w:sz="4" w:space="0"/>
              <w:left w:val="single" w:color="000000" w:sz="4" w:space="0"/>
              <w:bottom w:val="single" w:color="000000" w:sz="4" w:space="0"/>
              <w:right w:val="single" w:color="000000" w:sz="4" w:space="0"/>
            </w:tcBorders>
            <w:shd w:val="clear" w:color="auto" w:fill="FFFFFF"/>
            <w:vAlign w:val="top"/>
          </w:tcPr>
          <w:p w14:paraId="5ADF2733">
            <w:pPr>
              <w:pStyle w:val="166"/>
              <w:numPr>
                <w:ilvl w:val="3"/>
                <w:numId w:val="0"/>
              </w:numPr>
              <w:ind w:left="0" w:leftChars="0" w:firstLine="0" w:firstLineChars="0"/>
              <w:rPr>
                <w:rFonts w:hint="default"/>
                <w:b w:val="0"/>
                <w:color w:val="000000"/>
                <w:sz w:val="18"/>
                <w:szCs w:val="18"/>
                <w:vertAlign w:val="baseline"/>
                <w:lang w:val="en-US" w:eastAsia="zh-CN"/>
              </w:rPr>
            </w:pPr>
            <w:r>
              <w:rPr>
                <w:rFonts w:hint="eastAsia"/>
                <w:b w:val="0"/>
                <w:color w:val="000000"/>
                <w:sz w:val="18"/>
                <w:szCs w:val="18"/>
                <w:lang w:val="en-US" w:eastAsia="zh-CN"/>
              </w:rPr>
              <w:t>内河水运设施结构和环境等各项监测参数均在正常范围之内，满足设计和规范要求。</w:t>
            </w:r>
          </w:p>
        </w:tc>
        <w:tc>
          <w:tcPr>
            <w:tcW w:w="1964" w:type="dxa"/>
            <w:tcBorders>
              <w:top w:val="single" w:color="000000" w:sz="4" w:space="0"/>
              <w:left w:val="single" w:color="000000" w:sz="4" w:space="0"/>
              <w:bottom w:val="single" w:color="000000" w:sz="4" w:space="0"/>
              <w:right w:val="single" w:color="000000" w:sz="12" w:space="0"/>
            </w:tcBorders>
            <w:shd w:val="clear" w:color="auto" w:fill="FFFFFF"/>
            <w:vAlign w:val="top"/>
          </w:tcPr>
          <w:p w14:paraId="154DB6A6">
            <w:pPr>
              <w:pStyle w:val="166"/>
              <w:numPr>
                <w:ilvl w:val="3"/>
                <w:numId w:val="0"/>
              </w:numPr>
              <w:ind w:left="0" w:leftChars="0" w:firstLine="0" w:firstLineChars="0"/>
              <w:rPr>
                <w:rFonts w:hint="eastAsia"/>
                <w:b w:val="0"/>
                <w:color w:val="000000"/>
                <w:sz w:val="18"/>
                <w:szCs w:val="18"/>
                <w:vertAlign w:val="baseline"/>
                <w:lang w:val="en-US" w:eastAsia="zh-CN"/>
              </w:rPr>
            </w:pPr>
            <w:r>
              <w:rPr>
                <w:rFonts w:hint="eastAsia"/>
                <w:b w:val="0"/>
                <w:color w:val="000000"/>
                <w:sz w:val="18"/>
                <w:szCs w:val="18"/>
                <w:lang w:val="en-US" w:eastAsia="zh-CN"/>
              </w:rPr>
              <w:t>内河水运设施使用功能正常，结构安全</w:t>
            </w:r>
          </w:p>
        </w:tc>
      </w:tr>
      <w:tr w14:paraId="5B524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Borders>
              <w:top w:val="single" w:color="000000" w:sz="4" w:space="0"/>
              <w:left w:val="single" w:color="000000" w:sz="12" w:space="0"/>
              <w:bottom w:val="single" w:color="000000" w:sz="4" w:space="0"/>
              <w:right w:val="single" w:color="000000" w:sz="4" w:space="0"/>
            </w:tcBorders>
            <w:shd w:val="clear" w:color="auto" w:fill="FFFFFF"/>
          </w:tcPr>
          <w:p w14:paraId="027E68BE">
            <w:pPr>
              <w:pStyle w:val="166"/>
              <w:numPr>
                <w:ilvl w:val="3"/>
                <w:numId w:val="0"/>
              </w:numPr>
              <w:jc w:val="center"/>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2</w:t>
            </w:r>
          </w:p>
        </w:tc>
        <w:tc>
          <w:tcPr>
            <w:tcW w:w="1164" w:type="dxa"/>
            <w:tcBorders>
              <w:top w:val="single" w:color="000000" w:sz="4" w:space="0"/>
              <w:left w:val="single" w:color="000000" w:sz="4" w:space="0"/>
              <w:bottom w:val="single" w:color="000000" w:sz="4" w:space="0"/>
              <w:right w:val="single" w:color="000000" w:sz="4" w:space="0"/>
            </w:tcBorders>
            <w:shd w:val="clear" w:color="auto" w:fill="FFFFFF"/>
            <w:vAlign w:val="top"/>
          </w:tcPr>
          <w:p w14:paraId="72C0556E">
            <w:pPr>
              <w:pStyle w:val="166"/>
              <w:numPr>
                <w:ilvl w:val="3"/>
                <w:numId w:val="0"/>
              </w:numPr>
              <w:ind w:left="0" w:leftChars="0" w:firstLine="0" w:firstLineChars="0"/>
              <w:jc w:val="center"/>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异常</w:t>
            </w:r>
          </w:p>
        </w:tc>
        <w:tc>
          <w:tcPr>
            <w:tcW w:w="984" w:type="dxa"/>
            <w:tcBorders>
              <w:top w:val="single" w:color="000000" w:sz="4" w:space="0"/>
              <w:left w:val="single" w:color="000000" w:sz="4" w:space="0"/>
              <w:bottom w:val="single" w:color="000000" w:sz="4" w:space="0"/>
              <w:right w:val="single" w:color="000000" w:sz="4" w:space="0"/>
            </w:tcBorders>
            <w:shd w:val="clear" w:color="auto" w:fill="FFFFFF"/>
            <w:vAlign w:val="top"/>
          </w:tcPr>
          <w:p w14:paraId="7E20DB03">
            <w:pPr>
              <w:pStyle w:val="166"/>
              <w:numPr>
                <w:ilvl w:val="3"/>
                <w:numId w:val="0"/>
              </w:numPr>
              <w:ind w:left="0" w:leftChars="0" w:firstLine="0" w:firstLineChars="0"/>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黄色预警</w:t>
            </w:r>
          </w:p>
        </w:tc>
        <w:tc>
          <w:tcPr>
            <w:tcW w:w="1050" w:type="dxa"/>
            <w:tcBorders>
              <w:top w:val="single" w:color="000000" w:sz="4" w:space="0"/>
              <w:left w:val="single" w:color="000000" w:sz="4" w:space="0"/>
              <w:bottom w:val="single" w:color="000000" w:sz="4" w:space="0"/>
              <w:right w:val="single" w:color="000000" w:sz="4" w:space="0"/>
            </w:tcBorders>
            <w:shd w:val="clear" w:color="auto" w:fill="FFFFFF"/>
            <w:vAlign w:val="top"/>
          </w:tcPr>
          <w:p w14:paraId="505A47C4">
            <w:pPr>
              <w:pStyle w:val="166"/>
              <w:numPr>
                <w:ilvl w:val="3"/>
                <w:numId w:val="0"/>
              </w:numPr>
              <w:ind w:left="0" w:leftChars="0" w:firstLine="0" w:firstLineChars="0"/>
              <w:rPr>
                <w:rFonts w:hint="eastAsia"/>
                <w:b w:val="0"/>
                <w:color w:val="000000"/>
                <w:sz w:val="18"/>
                <w:szCs w:val="18"/>
                <w:vertAlign w:val="baseline"/>
                <w:lang w:val="en-US" w:eastAsia="zh-CN"/>
              </w:rPr>
            </w:pPr>
            <w:r>
              <w:rPr>
                <w:rFonts w:hint="eastAsia"/>
                <w:b w:val="0"/>
                <w:color w:val="000000"/>
                <w:sz w:val="18"/>
                <w:szCs w:val="18"/>
                <w:vertAlign w:val="baseline"/>
                <w:lang w:val="en-US" w:eastAsia="zh-CN"/>
              </w:rPr>
              <w:t>自动触发</w:t>
            </w:r>
          </w:p>
        </w:tc>
        <w:tc>
          <w:tcPr>
            <w:tcW w:w="3650" w:type="dxa"/>
            <w:tcBorders>
              <w:top w:val="single" w:color="000000" w:sz="4" w:space="0"/>
              <w:left w:val="single" w:color="000000" w:sz="4" w:space="0"/>
              <w:bottom w:val="single" w:color="000000" w:sz="4" w:space="0"/>
              <w:right w:val="single" w:color="000000" w:sz="4" w:space="0"/>
            </w:tcBorders>
            <w:shd w:val="clear" w:color="auto" w:fill="FFFFFF"/>
            <w:vAlign w:val="top"/>
          </w:tcPr>
          <w:p w14:paraId="70B0DFDC">
            <w:pPr>
              <w:pStyle w:val="166"/>
              <w:numPr>
                <w:ilvl w:val="3"/>
                <w:numId w:val="0"/>
              </w:numPr>
              <w:ind w:left="0" w:leftChars="0" w:firstLine="0" w:firstLineChars="0"/>
              <w:rPr>
                <w:rFonts w:hint="eastAsia"/>
                <w:b w:val="0"/>
                <w:color w:val="000000"/>
                <w:sz w:val="18"/>
                <w:szCs w:val="18"/>
                <w:vertAlign w:val="baseline"/>
                <w:lang w:val="en-US" w:eastAsia="zh-CN"/>
              </w:rPr>
            </w:pPr>
            <w:r>
              <w:rPr>
                <w:rFonts w:hint="eastAsia"/>
                <w:b w:val="0"/>
                <w:color w:val="000000"/>
                <w:sz w:val="18"/>
                <w:szCs w:val="18"/>
                <w:lang w:val="en-US" w:eastAsia="zh-CN"/>
              </w:rPr>
              <w:t>结构结构状态特征指标超出1或2级阈值</w:t>
            </w:r>
          </w:p>
        </w:tc>
        <w:tc>
          <w:tcPr>
            <w:tcW w:w="1964" w:type="dxa"/>
            <w:tcBorders>
              <w:top w:val="single" w:color="000000" w:sz="4" w:space="0"/>
              <w:left w:val="single" w:color="000000" w:sz="4" w:space="0"/>
              <w:bottom w:val="single" w:color="000000" w:sz="4" w:space="0"/>
              <w:right w:val="single" w:color="000000" w:sz="12" w:space="0"/>
            </w:tcBorders>
            <w:shd w:val="clear" w:color="auto" w:fill="FFFFFF"/>
            <w:vAlign w:val="top"/>
          </w:tcPr>
          <w:p w14:paraId="3153750F">
            <w:pPr>
              <w:pStyle w:val="166"/>
              <w:numPr>
                <w:ilvl w:val="3"/>
                <w:numId w:val="0"/>
              </w:numPr>
              <w:ind w:left="0" w:leftChars="0" w:firstLine="0" w:firstLineChars="0"/>
              <w:rPr>
                <w:rFonts w:hint="eastAsia"/>
                <w:b w:val="0"/>
                <w:color w:val="000000"/>
                <w:sz w:val="18"/>
                <w:szCs w:val="18"/>
                <w:vertAlign w:val="baseline"/>
                <w:lang w:val="en-US" w:eastAsia="zh-CN"/>
              </w:rPr>
            </w:pPr>
            <w:r>
              <w:rPr>
                <w:rFonts w:hint="eastAsia"/>
                <w:b w:val="0"/>
                <w:color w:val="000000"/>
                <w:sz w:val="18"/>
                <w:szCs w:val="18"/>
                <w:lang w:val="en-US" w:eastAsia="zh-CN"/>
              </w:rPr>
              <w:t>内河水运设施正常使用功能有影响</w:t>
            </w:r>
          </w:p>
        </w:tc>
      </w:tr>
      <w:tr w14:paraId="0579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755" w:type="dxa"/>
            <w:tcBorders>
              <w:top w:val="single" w:color="000000" w:sz="4" w:space="0"/>
              <w:left w:val="single" w:color="000000" w:sz="12" w:space="0"/>
              <w:bottom w:val="single" w:color="000000" w:sz="12" w:space="0"/>
              <w:right w:val="single" w:color="000000" w:sz="4" w:space="0"/>
            </w:tcBorders>
            <w:shd w:val="clear" w:color="auto" w:fill="FFFFFF"/>
          </w:tcPr>
          <w:p w14:paraId="49DA72C2">
            <w:pPr>
              <w:pStyle w:val="166"/>
              <w:numPr>
                <w:ilvl w:val="3"/>
                <w:numId w:val="0"/>
              </w:numPr>
              <w:jc w:val="center"/>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3</w:t>
            </w:r>
          </w:p>
        </w:tc>
        <w:tc>
          <w:tcPr>
            <w:tcW w:w="1164" w:type="dxa"/>
            <w:tcBorders>
              <w:top w:val="single" w:color="000000" w:sz="4" w:space="0"/>
              <w:left w:val="single" w:color="000000" w:sz="4" w:space="0"/>
              <w:bottom w:val="single" w:color="000000" w:sz="12" w:space="0"/>
              <w:right w:val="single" w:color="000000" w:sz="4" w:space="0"/>
            </w:tcBorders>
            <w:shd w:val="clear" w:color="auto" w:fill="FFFFFF"/>
            <w:vAlign w:val="top"/>
          </w:tcPr>
          <w:p w14:paraId="14730482">
            <w:pPr>
              <w:pStyle w:val="166"/>
              <w:numPr>
                <w:ilvl w:val="3"/>
                <w:numId w:val="0"/>
              </w:numPr>
              <w:ind w:left="0" w:leftChars="0" w:firstLine="0" w:firstLineChars="0"/>
              <w:jc w:val="center"/>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严重异常</w:t>
            </w:r>
          </w:p>
        </w:tc>
        <w:tc>
          <w:tcPr>
            <w:tcW w:w="984" w:type="dxa"/>
            <w:tcBorders>
              <w:top w:val="single" w:color="000000" w:sz="4" w:space="0"/>
              <w:left w:val="single" w:color="000000" w:sz="4" w:space="0"/>
              <w:bottom w:val="single" w:color="000000" w:sz="12" w:space="0"/>
              <w:right w:val="single" w:color="000000" w:sz="4" w:space="0"/>
            </w:tcBorders>
            <w:shd w:val="clear" w:color="auto" w:fill="FFFFFF"/>
            <w:vAlign w:val="top"/>
          </w:tcPr>
          <w:p w14:paraId="6915BA12">
            <w:pPr>
              <w:pStyle w:val="166"/>
              <w:numPr>
                <w:ilvl w:val="3"/>
                <w:numId w:val="0"/>
              </w:numPr>
              <w:ind w:left="0" w:leftChars="0" w:firstLine="0" w:firstLineChars="0"/>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红色预警</w:t>
            </w:r>
          </w:p>
        </w:tc>
        <w:tc>
          <w:tcPr>
            <w:tcW w:w="1050" w:type="dxa"/>
            <w:tcBorders>
              <w:top w:val="single" w:color="000000" w:sz="4" w:space="0"/>
              <w:left w:val="single" w:color="000000" w:sz="4" w:space="0"/>
              <w:bottom w:val="single" w:color="000000" w:sz="12" w:space="0"/>
              <w:right w:val="single" w:color="000000" w:sz="4" w:space="0"/>
            </w:tcBorders>
            <w:shd w:val="clear" w:color="auto" w:fill="FFFFFF"/>
            <w:vAlign w:val="top"/>
          </w:tcPr>
          <w:p w14:paraId="74E9B13D">
            <w:pPr>
              <w:pStyle w:val="166"/>
              <w:numPr>
                <w:ilvl w:val="3"/>
                <w:numId w:val="0"/>
              </w:numPr>
              <w:ind w:left="0" w:leftChars="0" w:firstLine="0" w:firstLineChars="0"/>
              <w:rPr>
                <w:rFonts w:hint="eastAsia"/>
                <w:b w:val="0"/>
                <w:color w:val="000000"/>
                <w:sz w:val="18"/>
                <w:szCs w:val="18"/>
                <w:vertAlign w:val="baseline"/>
                <w:lang w:val="en-US" w:eastAsia="zh-CN"/>
              </w:rPr>
            </w:pPr>
            <w:r>
              <w:rPr>
                <w:rFonts w:hint="eastAsia"/>
                <w:b w:val="0"/>
                <w:color w:val="000000"/>
                <w:sz w:val="18"/>
                <w:szCs w:val="18"/>
                <w:vertAlign w:val="baseline"/>
                <w:lang w:val="en-US" w:eastAsia="zh-CN"/>
              </w:rPr>
              <w:t>自动触发/人工调整</w:t>
            </w:r>
          </w:p>
        </w:tc>
        <w:tc>
          <w:tcPr>
            <w:tcW w:w="3650" w:type="dxa"/>
            <w:tcBorders>
              <w:top w:val="single" w:color="000000" w:sz="4" w:space="0"/>
              <w:left w:val="single" w:color="000000" w:sz="4" w:space="0"/>
              <w:bottom w:val="single" w:color="000000" w:sz="12" w:space="0"/>
              <w:right w:val="single" w:color="000000" w:sz="4" w:space="0"/>
            </w:tcBorders>
            <w:shd w:val="clear" w:color="auto" w:fill="FFFFFF"/>
            <w:vAlign w:val="top"/>
          </w:tcPr>
          <w:p w14:paraId="6AEBE70E">
            <w:pPr>
              <w:pStyle w:val="166"/>
              <w:numPr>
                <w:ilvl w:val="3"/>
                <w:numId w:val="0"/>
              </w:numPr>
              <w:ind w:left="0" w:leftChars="0" w:firstLine="0" w:firstLineChars="0"/>
              <w:rPr>
                <w:rFonts w:hint="default"/>
                <w:b w:val="0"/>
                <w:color w:val="000000"/>
                <w:sz w:val="18"/>
                <w:szCs w:val="18"/>
                <w:vertAlign w:val="baseline"/>
                <w:lang w:val="en-US" w:eastAsia="zh-CN"/>
              </w:rPr>
            </w:pPr>
            <w:r>
              <w:rPr>
                <w:rFonts w:hint="eastAsia"/>
                <w:b w:val="0"/>
                <w:color w:val="000000"/>
                <w:sz w:val="18"/>
                <w:szCs w:val="18"/>
                <w:lang w:val="en-US" w:eastAsia="zh-CN"/>
              </w:rPr>
              <w:t>结构安全密切相关的状态特征指标超过3级阈值</w:t>
            </w:r>
          </w:p>
        </w:tc>
        <w:tc>
          <w:tcPr>
            <w:tcW w:w="1964" w:type="dxa"/>
            <w:tcBorders>
              <w:top w:val="single" w:color="000000" w:sz="4" w:space="0"/>
              <w:left w:val="single" w:color="000000" w:sz="4" w:space="0"/>
              <w:bottom w:val="single" w:color="000000" w:sz="12" w:space="0"/>
              <w:right w:val="single" w:color="000000" w:sz="12" w:space="0"/>
            </w:tcBorders>
            <w:shd w:val="clear" w:color="auto" w:fill="FFFFFF"/>
            <w:vAlign w:val="top"/>
          </w:tcPr>
          <w:p w14:paraId="24786FDB">
            <w:pPr>
              <w:pStyle w:val="166"/>
              <w:numPr>
                <w:ilvl w:val="3"/>
                <w:numId w:val="0"/>
              </w:numPr>
              <w:ind w:left="0" w:leftChars="0" w:firstLine="0" w:firstLineChars="0"/>
              <w:rPr>
                <w:rFonts w:hint="eastAsia"/>
                <w:b w:val="0"/>
                <w:color w:val="000000"/>
                <w:sz w:val="18"/>
                <w:szCs w:val="18"/>
                <w:vertAlign w:val="baseline"/>
                <w:lang w:val="en-US" w:eastAsia="zh-CN"/>
              </w:rPr>
            </w:pPr>
            <w:r>
              <w:rPr>
                <w:rFonts w:hint="eastAsia"/>
                <w:b w:val="0"/>
                <w:color w:val="000000"/>
                <w:sz w:val="18"/>
                <w:szCs w:val="18"/>
                <w:lang w:val="en-US" w:eastAsia="zh-CN"/>
              </w:rPr>
              <w:t>严重影响内河水运设施的正常使用功能</w:t>
            </w:r>
          </w:p>
        </w:tc>
      </w:tr>
    </w:tbl>
    <w:p w14:paraId="73A92974">
      <w:pPr>
        <w:pStyle w:val="166"/>
        <w:rPr>
          <w:rFonts w:hint="eastAsia"/>
          <w:lang w:val="en-US" w:eastAsia="zh-CN"/>
        </w:rPr>
      </w:pPr>
      <w:r>
        <w:rPr>
          <w:rFonts w:hint="eastAsia"/>
          <w:lang w:val="en-US" w:eastAsia="zh-CN"/>
        </w:rPr>
        <w:t>对预警等级进行人工调整，应根据技术分析评估的结论或应急响应过程中的现场检查或应急处置的反馈结果实施。</w:t>
      </w:r>
    </w:p>
    <w:p w14:paraId="532945C0">
      <w:pPr>
        <w:pStyle w:val="166"/>
        <w:rPr>
          <w:rFonts w:hint="eastAsia"/>
          <w:lang w:val="en-US" w:eastAsia="zh-CN"/>
        </w:rPr>
      </w:pPr>
      <w:r>
        <w:rPr>
          <w:rFonts w:hint="eastAsia"/>
          <w:lang w:val="en-US" w:eastAsia="zh-CN"/>
        </w:rPr>
        <w:t>预警等级的判别依据可根据内河水运设施健康安全风险分析结果、结构理论计算分析结果、前期预警记录及应急响应情况，并结合系统管理人员的专业技术经验进行设定和调整。</w:t>
      </w:r>
    </w:p>
    <w:p w14:paraId="41931196">
      <w:pPr>
        <w:pStyle w:val="106"/>
        <w:bidi w:val="0"/>
        <w:rPr>
          <w:rFonts w:hint="eastAsia"/>
          <w:lang w:val="en-US" w:eastAsia="zh-CN"/>
        </w:rPr>
      </w:pPr>
      <w:bookmarkStart w:id="64" w:name="_Toc17302"/>
      <w:r>
        <w:rPr>
          <w:rFonts w:hint="eastAsia"/>
          <w:lang w:val="en-US" w:eastAsia="zh-CN"/>
        </w:rPr>
        <w:t>预警发布管理</w:t>
      </w:r>
      <w:bookmarkEnd w:id="64"/>
    </w:p>
    <w:p w14:paraId="4947CC36">
      <w:pPr>
        <w:pStyle w:val="166"/>
        <w:rPr>
          <w:rFonts w:hint="eastAsia"/>
          <w:lang w:val="en-US" w:eastAsia="zh-CN"/>
        </w:rPr>
      </w:pPr>
      <w:r>
        <w:rPr>
          <w:rFonts w:hint="eastAsia"/>
          <w:lang w:val="en-US" w:eastAsia="zh-CN"/>
        </w:rPr>
        <w:t>内河水运设施健康监测发生预警时，应第一时间通知相关责任人预警信息，预警信息应包含设施电话、短信、微信、系统内信息等快捷通讯方式中的一种或多种通知。</w:t>
      </w:r>
    </w:p>
    <w:p w14:paraId="24FE44CE">
      <w:pPr>
        <w:pStyle w:val="166"/>
        <w:rPr>
          <w:rFonts w:hint="eastAsia"/>
          <w:lang w:val="en-US" w:eastAsia="zh-CN"/>
        </w:rPr>
      </w:pPr>
      <w:r>
        <w:rPr>
          <w:rFonts w:hint="eastAsia"/>
          <w:lang w:val="en-US" w:eastAsia="zh-CN"/>
        </w:rPr>
        <w:t>内河水运设施健康监测预警在发出预警消息后，宜同步生成预警报告，预警报告内容除预警信息外还应包含设施概况、预警前设施运行监测或检查的概况、预警触发过程及原因分析、对设施安全状态影响的预判、及应急响应建议等内容，并经技术会审后提交相关责任单位。</w:t>
      </w:r>
    </w:p>
    <w:p w14:paraId="6FA4CC86">
      <w:pPr>
        <w:pStyle w:val="106"/>
        <w:bidi w:val="0"/>
        <w:outlineLvl w:val="0"/>
        <w:rPr>
          <w:rFonts w:hint="default"/>
          <w:lang w:val="en-US" w:eastAsia="zh-CN"/>
        </w:rPr>
      </w:pPr>
      <w:bookmarkStart w:id="65" w:name="_Toc4585"/>
      <w:r>
        <w:rPr>
          <w:rFonts w:hint="eastAsia"/>
          <w:lang w:val="en-US" w:eastAsia="zh-CN"/>
        </w:rPr>
        <w:t>评估决策</w:t>
      </w:r>
      <w:bookmarkEnd w:id="65"/>
    </w:p>
    <w:p w14:paraId="0442502E">
      <w:pPr>
        <w:pStyle w:val="66"/>
        <w:spacing w:before="156" w:after="156"/>
        <w:rPr>
          <w:rFonts w:hint="default"/>
          <w:lang w:val="en-US" w:eastAsia="zh-CN"/>
        </w:rPr>
      </w:pPr>
      <w:r>
        <w:rPr>
          <w:rFonts w:hint="eastAsia"/>
          <w:lang w:val="en-US" w:eastAsia="zh-CN"/>
        </w:rPr>
        <w:t>服役状态评估</w:t>
      </w:r>
    </w:p>
    <w:p w14:paraId="554BD72A">
      <w:pPr>
        <w:pStyle w:val="165"/>
        <w:bidi w:val="0"/>
        <w:rPr>
          <w:rFonts w:hint="eastAsia"/>
          <w:lang w:val="en-US" w:eastAsia="zh-CN"/>
        </w:rPr>
      </w:pPr>
      <w:r>
        <w:rPr>
          <w:rFonts w:hint="eastAsia"/>
          <w:lang w:val="en-US" w:eastAsia="zh-CN"/>
        </w:rPr>
        <w:t>内河水运设施服役状态评估宜分为定期评估和专项评估。</w:t>
      </w:r>
    </w:p>
    <w:p w14:paraId="61147688">
      <w:pPr>
        <w:pStyle w:val="165"/>
        <w:bidi w:val="0"/>
        <w:rPr>
          <w:rFonts w:hint="eastAsia"/>
          <w:lang w:val="en-US" w:eastAsia="zh-CN"/>
        </w:rPr>
      </w:pPr>
      <w:r>
        <w:rPr>
          <w:rFonts w:hint="eastAsia"/>
          <w:lang w:val="en-US" w:eastAsia="zh-CN"/>
        </w:rPr>
        <w:t>定期评估频率应结合内河水运设施所处的预警等级，宜按表3规定的频率开展安全评估工作，并形成评估分析报告。</w:t>
      </w:r>
    </w:p>
    <w:p w14:paraId="1F38F42B">
      <w:pPr>
        <w:keepNext w:val="0"/>
        <w:keepLines w:val="0"/>
        <w:widowControl/>
        <w:suppressLineNumbers w:val="0"/>
        <w:jc w:val="center"/>
        <w:rPr>
          <w:rFonts w:hint="eastAsia" w:ascii="黑体" w:hAnsi="宋体" w:eastAsia="黑体" w:cs="黑体"/>
          <w:color w:val="000000"/>
          <w:kern w:val="0"/>
          <w:sz w:val="21"/>
          <w:szCs w:val="21"/>
          <w:lang w:val="en-US" w:eastAsia="zh-CN" w:bidi="ar"/>
        </w:rPr>
      </w:pPr>
      <w:r>
        <w:rPr>
          <w:rFonts w:hint="eastAsia" w:ascii="黑体" w:hAnsi="宋体" w:eastAsia="黑体" w:cs="黑体"/>
          <w:color w:val="000000"/>
          <w:kern w:val="0"/>
          <w:sz w:val="21"/>
          <w:szCs w:val="21"/>
          <w:lang w:val="en-US" w:eastAsia="zh-CN" w:bidi="ar"/>
        </w:rPr>
        <w:t>表3 内河水运设施服役状态定期安全评估频率</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4144"/>
        <w:gridCol w:w="4574"/>
      </w:tblGrid>
      <w:tr w14:paraId="289C6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852" w:type="dxa"/>
            <w:tcBorders>
              <w:top w:val="single" w:color="000000" w:sz="12" w:space="0"/>
              <w:left w:val="single" w:color="000000" w:sz="12" w:space="0"/>
              <w:bottom w:val="single" w:color="000000" w:sz="4" w:space="0"/>
              <w:right w:val="single" w:color="000000" w:sz="4" w:space="0"/>
              <w:tl2br w:val="nil"/>
            </w:tcBorders>
            <w:shd w:val="clear" w:color="auto" w:fill="FFFFFF"/>
          </w:tcPr>
          <w:p w14:paraId="59271E15">
            <w:pPr>
              <w:pStyle w:val="57"/>
              <w:ind w:left="0" w:leftChars="0" w:firstLine="0" w:firstLineChars="0"/>
              <w:jc w:val="center"/>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序号</w:t>
            </w:r>
          </w:p>
        </w:tc>
        <w:tc>
          <w:tcPr>
            <w:tcW w:w="4144" w:type="dxa"/>
            <w:tcBorders>
              <w:top w:val="single" w:color="000000" w:sz="12" w:space="0"/>
              <w:left w:val="single" w:color="000000" w:sz="4" w:space="0"/>
              <w:bottom w:val="single" w:color="000000" w:sz="4" w:space="0"/>
              <w:right w:val="single" w:color="000000" w:sz="4" w:space="0"/>
            </w:tcBorders>
            <w:shd w:val="clear" w:color="auto" w:fill="FFFFFF"/>
          </w:tcPr>
          <w:p w14:paraId="6B197195">
            <w:pPr>
              <w:pStyle w:val="57"/>
              <w:ind w:left="0" w:leftChars="0" w:firstLine="0" w:firstLineChars="0"/>
              <w:jc w:val="center"/>
              <w:rPr>
                <w:rFonts w:hint="eastAsia"/>
                <w:b w:val="0"/>
                <w:color w:val="000000"/>
                <w:sz w:val="18"/>
                <w:szCs w:val="18"/>
                <w:vertAlign w:val="baseline"/>
                <w:lang w:val="en-US" w:eastAsia="zh-CN"/>
              </w:rPr>
            </w:pPr>
            <w:r>
              <w:rPr>
                <w:rFonts w:hint="eastAsia"/>
                <w:b w:val="0"/>
                <w:color w:val="000000"/>
                <w:sz w:val="18"/>
                <w:szCs w:val="18"/>
                <w:vertAlign w:val="baseline"/>
                <w:lang w:val="en-US" w:eastAsia="zh-CN"/>
              </w:rPr>
              <w:t>预警等级</w:t>
            </w:r>
          </w:p>
        </w:tc>
        <w:tc>
          <w:tcPr>
            <w:tcW w:w="4574" w:type="dxa"/>
            <w:tcBorders>
              <w:top w:val="single" w:color="000000" w:sz="12" w:space="0"/>
              <w:left w:val="single" w:color="000000" w:sz="4" w:space="0"/>
              <w:bottom w:val="single" w:color="000000" w:sz="4" w:space="0"/>
              <w:right w:val="single" w:color="000000" w:sz="12" w:space="0"/>
            </w:tcBorders>
            <w:shd w:val="clear" w:color="auto" w:fill="FFFFFF"/>
          </w:tcPr>
          <w:p w14:paraId="5B0C6CC2">
            <w:pPr>
              <w:pStyle w:val="57"/>
              <w:ind w:left="0" w:leftChars="0" w:firstLine="0" w:firstLineChars="0"/>
              <w:jc w:val="center"/>
              <w:rPr>
                <w:rFonts w:hint="eastAsia"/>
                <w:b w:val="0"/>
                <w:color w:val="000000"/>
                <w:sz w:val="18"/>
                <w:szCs w:val="18"/>
                <w:vertAlign w:val="baseline"/>
                <w:lang w:val="en-US" w:eastAsia="zh-CN"/>
              </w:rPr>
            </w:pPr>
            <w:r>
              <w:rPr>
                <w:rFonts w:hint="eastAsia"/>
                <w:b w:val="0"/>
                <w:color w:val="000000"/>
                <w:sz w:val="18"/>
                <w:szCs w:val="18"/>
                <w:vertAlign w:val="baseline"/>
                <w:lang w:val="en-US" w:eastAsia="zh-CN"/>
              </w:rPr>
              <w:t>评估频率</w:t>
            </w:r>
          </w:p>
        </w:tc>
      </w:tr>
      <w:tr w14:paraId="7A656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Borders>
              <w:top w:val="single" w:color="000000" w:sz="4" w:space="0"/>
              <w:left w:val="single" w:color="000000" w:sz="12" w:space="0"/>
              <w:bottom w:val="single" w:color="000000" w:sz="4" w:space="0"/>
              <w:right w:val="single" w:color="000000" w:sz="4" w:space="0"/>
            </w:tcBorders>
            <w:shd w:val="clear" w:color="auto" w:fill="FFFFFF"/>
          </w:tcPr>
          <w:p w14:paraId="5DE0E309">
            <w:pPr>
              <w:pStyle w:val="57"/>
              <w:ind w:left="0" w:leftChars="0" w:firstLine="0" w:firstLineChars="0"/>
              <w:jc w:val="center"/>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1</w:t>
            </w:r>
          </w:p>
        </w:tc>
        <w:tc>
          <w:tcPr>
            <w:tcW w:w="4144" w:type="dxa"/>
            <w:tcBorders>
              <w:top w:val="single" w:color="000000" w:sz="4" w:space="0"/>
              <w:left w:val="single" w:color="000000" w:sz="4" w:space="0"/>
              <w:bottom w:val="single" w:color="000000" w:sz="4" w:space="0"/>
              <w:right w:val="single" w:color="000000" w:sz="4" w:space="0"/>
            </w:tcBorders>
            <w:shd w:val="clear" w:color="auto" w:fill="FFFFFF"/>
          </w:tcPr>
          <w:p w14:paraId="2BBBB9C3">
            <w:pPr>
              <w:pStyle w:val="57"/>
              <w:ind w:left="0" w:leftChars="0" w:firstLine="0" w:firstLineChars="0"/>
              <w:jc w:val="center"/>
              <w:rPr>
                <w:rFonts w:hint="eastAsia"/>
                <w:b w:val="0"/>
                <w:color w:val="000000"/>
                <w:sz w:val="18"/>
                <w:szCs w:val="18"/>
                <w:vertAlign w:val="baseline"/>
                <w:lang w:val="en-US" w:eastAsia="zh-CN"/>
              </w:rPr>
            </w:pPr>
            <w:r>
              <w:rPr>
                <w:rFonts w:hint="eastAsia"/>
                <w:b w:val="0"/>
                <w:color w:val="000000"/>
                <w:sz w:val="18"/>
                <w:szCs w:val="18"/>
                <w:vertAlign w:val="baseline"/>
                <w:lang w:val="en-US" w:eastAsia="zh-CN"/>
              </w:rPr>
              <w:t>绿色安全</w:t>
            </w:r>
          </w:p>
        </w:tc>
        <w:tc>
          <w:tcPr>
            <w:tcW w:w="4574" w:type="dxa"/>
            <w:tcBorders>
              <w:top w:val="single" w:color="000000" w:sz="4" w:space="0"/>
              <w:left w:val="single" w:color="000000" w:sz="4" w:space="0"/>
              <w:bottom w:val="single" w:color="000000" w:sz="4" w:space="0"/>
              <w:right w:val="single" w:color="000000" w:sz="12" w:space="0"/>
            </w:tcBorders>
            <w:shd w:val="clear" w:color="auto" w:fill="FFFFFF"/>
          </w:tcPr>
          <w:p w14:paraId="4E72BFFE">
            <w:pPr>
              <w:pStyle w:val="57"/>
              <w:ind w:left="0" w:leftChars="0" w:firstLine="0" w:firstLineChars="0"/>
              <w:jc w:val="center"/>
              <w:rPr>
                <w:rFonts w:hint="eastAsia"/>
                <w:b w:val="0"/>
                <w:color w:val="000000"/>
                <w:sz w:val="18"/>
                <w:szCs w:val="18"/>
                <w:vertAlign w:val="baseline"/>
                <w:lang w:val="en-US" w:eastAsia="zh-CN"/>
              </w:rPr>
            </w:pPr>
            <w:r>
              <w:rPr>
                <w:rFonts w:hint="eastAsia"/>
                <w:b w:val="0"/>
                <w:color w:val="000000"/>
                <w:sz w:val="18"/>
                <w:szCs w:val="18"/>
                <w:vertAlign w:val="baseline"/>
                <w:lang w:val="en-US" w:eastAsia="zh-CN"/>
              </w:rPr>
              <w:t>每年 1 次</w:t>
            </w:r>
          </w:p>
        </w:tc>
      </w:tr>
      <w:tr w14:paraId="27EA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 w:type="dxa"/>
            <w:tcBorders>
              <w:top w:val="single" w:color="000000" w:sz="4" w:space="0"/>
              <w:left w:val="single" w:color="000000" w:sz="12" w:space="0"/>
              <w:bottom w:val="single" w:color="000000" w:sz="4" w:space="0"/>
              <w:right w:val="single" w:color="000000" w:sz="4" w:space="0"/>
            </w:tcBorders>
            <w:shd w:val="clear" w:color="auto" w:fill="FFFFFF"/>
          </w:tcPr>
          <w:p w14:paraId="1E510F0F">
            <w:pPr>
              <w:pStyle w:val="57"/>
              <w:ind w:left="0" w:leftChars="0" w:firstLine="0" w:firstLineChars="0"/>
              <w:jc w:val="center"/>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2</w:t>
            </w:r>
          </w:p>
        </w:tc>
        <w:tc>
          <w:tcPr>
            <w:tcW w:w="4144" w:type="dxa"/>
            <w:tcBorders>
              <w:top w:val="single" w:color="000000" w:sz="4" w:space="0"/>
              <w:left w:val="single" w:color="000000" w:sz="4" w:space="0"/>
              <w:bottom w:val="single" w:color="000000" w:sz="4" w:space="0"/>
              <w:right w:val="single" w:color="000000" w:sz="4" w:space="0"/>
            </w:tcBorders>
            <w:shd w:val="clear" w:color="auto" w:fill="FFFFFF"/>
          </w:tcPr>
          <w:p w14:paraId="5E3FF24D">
            <w:pPr>
              <w:pStyle w:val="57"/>
              <w:ind w:left="0" w:leftChars="0" w:firstLine="0" w:firstLineChars="0"/>
              <w:jc w:val="center"/>
              <w:rPr>
                <w:rFonts w:hint="eastAsia"/>
                <w:b w:val="0"/>
                <w:color w:val="000000"/>
                <w:sz w:val="18"/>
                <w:szCs w:val="18"/>
                <w:vertAlign w:val="baseline"/>
                <w:lang w:val="en-US" w:eastAsia="zh-CN"/>
              </w:rPr>
            </w:pPr>
            <w:r>
              <w:rPr>
                <w:rFonts w:hint="eastAsia"/>
                <w:b w:val="0"/>
                <w:color w:val="000000"/>
                <w:sz w:val="18"/>
                <w:szCs w:val="18"/>
                <w:vertAlign w:val="baseline"/>
                <w:lang w:val="en-US" w:eastAsia="zh-CN"/>
              </w:rPr>
              <w:t>黄色预警</w:t>
            </w:r>
          </w:p>
        </w:tc>
        <w:tc>
          <w:tcPr>
            <w:tcW w:w="4574" w:type="dxa"/>
            <w:tcBorders>
              <w:top w:val="single" w:color="000000" w:sz="4" w:space="0"/>
              <w:left w:val="single" w:color="000000" w:sz="4" w:space="0"/>
              <w:bottom w:val="single" w:color="000000" w:sz="4" w:space="0"/>
              <w:right w:val="single" w:color="000000" w:sz="12" w:space="0"/>
            </w:tcBorders>
            <w:shd w:val="clear" w:color="auto" w:fill="FFFFFF"/>
          </w:tcPr>
          <w:p w14:paraId="2F7C43A4">
            <w:pPr>
              <w:pStyle w:val="57"/>
              <w:ind w:left="0" w:leftChars="0" w:firstLine="0" w:firstLineChars="0"/>
              <w:jc w:val="center"/>
              <w:rPr>
                <w:rFonts w:hint="eastAsia"/>
                <w:b w:val="0"/>
                <w:color w:val="000000"/>
                <w:sz w:val="18"/>
                <w:szCs w:val="18"/>
                <w:vertAlign w:val="baseline"/>
                <w:lang w:val="en-US" w:eastAsia="zh-CN"/>
              </w:rPr>
            </w:pPr>
            <w:r>
              <w:rPr>
                <w:rFonts w:hint="eastAsia"/>
                <w:b w:val="0"/>
                <w:color w:val="000000"/>
                <w:sz w:val="18"/>
                <w:szCs w:val="18"/>
                <w:vertAlign w:val="baseline"/>
                <w:lang w:val="en-US" w:eastAsia="zh-CN"/>
              </w:rPr>
              <w:t>每月 1 次</w:t>
            </w:r>
          </w:p>
        </w:tc>
      </w:tr>
      <w:tr w14:paraId="0C817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Borders>
              <w:top w:val="single" w:color="000000" w:sz="4" w:space="0"/>
              <w:left w:val="single" w:color="000000" w:sz="12" w:space="0"/>
              <w:bottom w:val="single" w:color="000000" w:sz="12" w:space="0"/>
              <w:right w:val="single" w:color="000000" w:sz="4" w:space="0"/>
            </w:tcBorders>
            <w:shd w:val="clear" w:color="auto" w:fill="FFFFFF"/>
          </w:tcPr>
          <w:p w14:paraId="1C2E2469">
            <w:pPr>
              <w:pStyle w:val="57"/>
              <w:ind w:left="0" w:leftChars="0" w:firstLine="0" w:firstLineChars="0"/>
              <w:jc w:val="center"/>
              <w:rPr>
                <w:rFonts w:hint="default"/>
                <w:b w:val="0"/>
                <w:color w:val="000000"/>
                <w:sz w:val="18"/>
                <w:szCs w:val="18"/>
                <w:vertAlign w:val="baseline"/>
                <w:lang w:val="en-US" w:eastAsia="zh-CN"/>
              </w:rPr>
            </w:pPr>
            <w:r>
              <w:rPr>
                <w:rFonts w:hint="eastAsia"/>
                <w:b w:val="0"/>
                <w:color w:val="000000"/>
                <w:sz w:val="18"/>
                <w:szCs w:val="18"/>
                <w:vertAlign w:val="baseline"/>
                <w:lang w:val="en-US" w:eastAsia="zh-CN"/>
              </w:rPr>
              <w:t>4</w:t>
            </w:r>
          </w:p>
        </w:tc>
        <w:tc>
          <w:tcPr>
            <w:tcW w:w="4144" w:type="dxa"/>
            <w:tcBorders>
              <w:top w:val="single" w:color="000000" w:sz="4" w:space="0"/>
              <w:left w:val="single" w:color="000000" w:sz="4" w:space="0"/>
              <w:bottom w:val="single" w:color="000000" w:sz="12" w:space="0"/>
              <w:right w:val="single" w:color="000000" w:sz="4" w:space="0"/>
            </w:tcBorders>
            <w:shd w:val="clear" w:color="auto" w:fill="FFFFFF"/>
          </w:tcPr>
          <w:p w14:paraId="2520CAB4">
            <w:pPr>
              <w:pStyle w:val="57"/>
              <w:ind w:left="0" w:leftChars="0" w:firstLine="0" w:firstLineChars="0"/>
              <w:jc w:val="center"/>
              <w:rPr>
                <w:rFonts w:hint="eastAsia"/>
                <w:b w:val="0"/>
                <w:color w:val="000000"/>
                <w:sz w:val="18"/>
                <w:szCs w:val="18"/>
                <w:vertAlign w:val="baseline"/>
                <w:lang w:val="en-US" w:eastAsia="zh-CN"/>
              </w:rPr>
            </w:pPr>
            <w:r>
              <w:rPr>
                <w:rFonts w:hint="eastAsia"/>
                <w:b w:val="0"/>
                <w:color w:val="000000"/>
                <w:sz w:val="18"/>
                <w:szCs w:val="18"/>
                <w:vertAlign w:val="baseline"/>
                <w:lang w:val="en-US" w:eastAsia="zh-CN"/>
              </w:rPr>
              <w:t>红色预警</w:t>
            </w:r>
          </w:p>
        </w:tc>
        <w:tc>
          <w:tcPr>
            <w:tcW w:w="4574" w:type="dxa"/>
            <w:tcBorders>
              <w:top w:val="single" w:color="000000" w:sz="4" w:space="0"/>
              <w:left w:val="single" w:color="000000" w:sz="4" w:space="0"/>
              <w:bottom w:val="single" w:color="000000" w:sz="12" w:space="0"/>
              <w:right w:val="single" w:color="000000" w:sz="12" w:space="0"/>
            </w:tcBorders>
            <w:shd w:val="clear" w:color="auto" w:fill="FFFFFF"/>
          </w:tcPr>
          <w:p w14:paraId="2EA030C4">
            <w:pPr>
              <w:pStyle w:val="57"/>
              <w:ind w:left="0" w:leftChars="0" w:firstLine="0" w:firstLineChars="0"/>
              <w:jc w:val="center"/>
              <w:rPr>
                <w:rFonts w:hint="eastAsia"/>
                <w:b w:val="0"/>
                <w:color w:val="000000"/>
                <w:sz w:val="18"/>
                <w:szCs w:val="18"/>
                <w:vertAlign w:val="baseline"/>
                <w:lang w:val="en-US" w:eastAsia="zh-CN"/>
              </w:rPr>
            </w:pPr>
            <w:r>
              <w:rPr>
                <w:rFonts w:hint="eastAsia"/>
                <w:b w:val="0"/>
                <w:color w:val="000000"/>
                <w:sz w:val="18"/>
                <w:szCs w:val="18"/>
                <w:vertAlign w:val="baseline"/>
                <w:lang w:val="en-US" w:eastAsia="zh-CN"/>
              </w:rPr>
              <w:t>每日 1 次</w:t>
            </w:r>
          </w:p>
        </w:tc>
      </w:tr>
    </w:tbl>
    <w:p w14:paraId="5348AF7F">
      <w:pPr>
        <w:pStyle w:val="165"/>
        <w:bidi w:val="0"/>
        <w:rPr>
          <w:rFonts w:hint="default"/>
          <w:lang w:val="en-US" w:eastAsia="zh-CN"/>
        </w:rPr>
      </w:pPr>
      <w:r>
        <w:rPr>
          <w:rFonts w:hint="eastAsia"/>
          <w:lang w:val="en-US" w:eastAsia="zh-CN"/>
        </w:rPr>
        <w:t>评估</w:t>
      </w:r>
      <w:r>
        <w:rPr>
          <w:rFonts w:hint="default"/>
          <w:lang w:val="en-US" w:eastAsia="zh-CN"/>
        </w:rPr>
        <w:t>分析报告宜由软件自动分析生成，保证数据数据分析的实时化、自动化。</w:t>
      </w:r>
    </w:p>
    <w:p w14:paraId="1F90DE67">
      <w:pPr>
        <w:pStyle w:val="165"/>
        <w:bidi w:val="0"/>
        <w:rPr>
          <w:rFonts w:hint="eastAsia"/>
          <w:lang w:val="en-US" w:eastAsia="zh-CN"/>
        </w:rPr>
      </w:pPr>
      <w:r>
        <w:rPr>
          <w:rFonts w:hint="eastAsia"/>
          <w:lang w:val="en-US" w:eastAsia="zh-CN"/>
        </w:rPr>
        <w:t>船闸、码头服役状态评估报告内容应符合JTS 304中相关规定，跨闸桥梁服役状态评估报告内容应符合JT/T 1037 中的相关规定外，还宜包括评估期内监测系统的总体运行情况、评估期内预警事件及其处理过程汇总。</w:t>
      </w:r>
    </w:p>
    <w:p w14:paraId="25B5BCBE">
      <w:pPr>
        <w:pStyle w:val="66"/>
        <w:spacing w:before="156" w:after="156"/>
        <w:rPr>
          <w:rFonts w:hint="default"/>
          <w:lang w:val="en-US" w:eastAsia="zh-CN"/>
        </w:rPr>
      </w:pPr>
      <w:r>
        <w:rPr>
          <w:rFonts w:hint="eastAsia"/>
          <w:lang w:val="en-US" w:eastAsia="zh-CN"/>
        </w:rPr>
        <w:t>养管决策支撑</w:t>
      </w:r>
    </w:p>
    <w:p w14:paraId="1C861341">
      <w:pPr>
        <w:pStyle w:val="165"/>
        <w:bidi w:val="0"/>
        <w:rPr>
          <w:rFonts w:hint="default"/>
          <w:lang w:val="en-US" w:eastAsia="zh-CN"/>
        </w:rPr>
      </w:pPr>
      <w:r>
        <w:rPr>
          <w:rFonts w:hint="default"/>
          <w:lang w:val="en-US" w:eastAsia="zh-CN"/>
        </w:rPr>
        <w:t>应对</w:t>
      </w:r>
      <w:r>
        <w:rPr>
          <w:rFonts w:hint="eastAsia"/>
          <w:lang w:val="en-US" w:eastAsia="zh-CN"/>
        </w:rPr>
        <w:t>内河水运设施</w:t>
      </w:r>
      <w:r>
        <w:rPr>
          <w:rFonts w:hint="default"/>
          <w:lang w:val="en-US" w:eastAsia="zh-CN"/>
        </w:rPr>
        <w:t>监测</w:t>
      </w:r>
      <w:r>
        <w:rPr>
          <w:rFonts w:hint="eastAsia"/>
          <w:lang w:val="en-US" w:eastAsia="zh-CN"/>
        </w:rPr>
        <w:t>数据分析评估成果</w:t>
      </w:r>
      <w:r>
        <w:rPr>
          <w:rFonts w:hint="default"/>
          <w:lang w:val="en-US" w:eastAsia="zh-CN"/>
        </w:rPr>
        <w:t>与人工检查成果进行综合分析、互为补充，共同为制定</w:t>
      </w:r>
      <w:r>
        <w:rPr>
          <w:rFonts w:hint="eastAsia"/>
          <w:lang w:val="en-US" w:eastAsia="zh-CN"/>
        </w:rPr>
        <w:t>内河水运设施</w:t>
      </w:r>
      <w:r>
        <w:rPr>
          <w:rFonts w:hint="default"/>
          <w:lang w:val="en-US" w:eastAsia="zh-CN"/>
        </w:rPr>
        <w:t>运营管理方案和养护维修计划提供决策技术支持，其流程框图见图2。</w:t>
      </w:r>
    </w:p>
    <w:p w14:paraId="7B713BD0">
      <w:pPr>
        <w:pStyle w:val="166"/>
        <w:numPr>
          <w:ilvl w:val="3"/>
          <w:numId w:val="0"/>
        </w:numPr>
        <w:ind w:leftChars="0"/>
        <w:jc w:val="center"/>
        <w:rPr>
          <w:rFonts w:hint="default"/>
          <w:lang w:val="en-US" w:eastAsia="zh-CN"/>
        </w:rPr>
      </w:pPr>
      <w:r>
        <w:rPr>
          <w:rFonts w:hint="default"/>
          <w:lang w:val="en-US" w:eastAsia="zh-CN"/>
        </w:rPr>
        <w:object>
          <v:shape id="_x0000_i1025" o:spt="75" type="#_x0000_t75" style="height:224.6pt;width:224pt;" o:ole="t" filled="f" o:preferrelative="t" stroked="f" coordsize="21600,21600">
            <v:path/>
            <v:fill on="f" focussize="0,0"/>
            <v:stroke on="f"/>
            <v:imagedata r:id="rId18" o:title=""/>
            <o:lock v:ext="edit" aspectratio="f"/>
            <w10:wrap type="none"/>
            <w10:anchorlock/>
          </v:shape>
          <o:OLEObject Type="Embed" ProgID="Visio.Drawing.15" ShapeID="_x0000_i1025" DrawAspect="Content" ObjectID="_1468075725" r:id="rId17">
            <o:LockedField>false</o:LockedField>
          </o:OLEObject>
        </w:object>
      </w:r>
    </w:p>
    <w:p w14:paraId="37168E7E">
      <w:pPr>
        <w:pStyle w:val="78"/>
        <w:numPr>
          <w:ilvl w:val="1"/>
          <w:numId w:val="0"/>
        </w:numPr>
        <w:spacing w:before="156" w:after="156"/>
        <w:rPr>
          <w:rFonts w:hint="eastAsia"/>
          <w:highlight w:val="none"/>
          <w:lang w:val="en-US" w:eastAsia="zh-CN"/>
        </w:rPr>
      </w:pPr>
      <w:r>
        <w:rPr>
          <w:rFonts w:hint="eastAsia"/>
          <w:lang w:val="en-US" w:eastAsia="zh-CN"/>
        </w:rPr>
        <w:t xml:space="preserve">图2 </w:t>
      </w:r>
      <w:r>
        <w:rPr>
          <w:rFonts w:hint="eastAsia"/>
          <w:highlight w:val="none"/>
          <w:lang w:val="en-US" w:eastAsia="zh-CN"/>
        </w:rPr>
        <w:t>制定内河水运设施运营管理方案和养护维修计划的流程框图</w:t>
      </w:r>
    </w:p>
    <w:p w14:paraId="4644EEFA">
      <w:pPr>
        <w:pStyle w:val="166"/>
        <w:rPr>
          <w:rFonts w:hint="eastAsia"/>
          <w:lang w:val="en-US" w:eastAsia="zh-CN"/>
        </w:rPr>
      </w:pPr>
      <w:r>
        <w:rPr>
          <w:rFonts w:hint="eastAsia"/>
          <w:lang w:val="en-US" w:eastAsia="zh-CN"/>
        </w:rPr>
        <w:t>内河水运设施定期检查或特殊检查的技术状况等级可参照JTG/T H21、JT/T 1037和JTS 304划分。</w:t>
      </w:r>
    </w:p>
    <w:p w14:paraId="5FB943A7">
      <w:pPr>
        <w:pStyle w:val="166"/>
        <w:rPr>
          <w:rFonts w:hint="eastAsia"/>
          <w:lang w:val="en-US" w:eastAsia="zh-CN"/>
        </w:rPr>
      </w:pPr>
      <w:r>
        <w:rPr>
          <w:rFonts w:hint="eastAsia"/>
          <w:lang w:val="en-US" w:eastAsia="zh-CN"/>
        </w:rPr>
        <w:t>技术状况等级与预警等级不一致时，应依据最不利的评定结果确定运管方案和养护计划。</w:t>
      </w:r>
    </w:p>
    <w:p w14:paraId="2FAFFAEA">
      <w:pPr>
        <w:pStyle w:val="105"/>
        <w:spacing w:before="312" w:after="312"/>
        <w:rPr>
          <w:rFonts w:hint="eastAsia"/>
          <w:szCs w:val="21"/>
          <w:lang w:val="en-US" w:eastAsia="zh-CN"/>
        </w:rPr>
      </w:pPr>
      <w:bookmarkStart w:id="66" w:name="_Toc30141"/>
      <w:r>
        <w:rPr>
          <w:rFonts w:hint="eastAsia"/>
          <w:szCs w:val="21"/>
          <w:lang w:val="en-US" w:eastAsia="zh-CN"/>
        </w:rPr>
        <w:t>应急处置</w:t>
      </w:r>
      <w:bookmarkEnd w:id="66"/>
    </w:p>
    <w:p w14:paraId="38B5BDE0">
      <w:pPr>
        <w:pStyle w:val="163"/>
        <w:rPr>
          <w:rFonts w:hint="eastAsia"/>
          <w:highlight w:val="none"/>
          <w:lang w:val="en-US" w:eastAsia="zh-CN"/>
        </w:rPr>
      </w:pPr>
      <w:r>
        <w:rPr>
          <w:rFonts w:hint="eastAsia"/>
          <w:highlight w:val="none"/>
          <w:lang w:val="en-US" w:eastAsia="zh-CN"/>
        </w:rPr>
        <w:t>系统发现内河水运设施健康安全风险事件时应快速启动相应的应急预案，并与管养单位相关的安全预警机制配套，并形成联动机制，宜定期对其有效性进行检查评估。</w:t>
      </w:r>
    </w:p>
    <w:p w14:paraId="27674ED4">
      <w:pPr>
        <w:pStyle w:val="163"/>
        <w:rPr>
          <w:rFonts w:hint="eastAsia"/>
          <w:highlight w:val="none"/>
          <w:lang w:val="en-US" w:eastAsia="zh-CN"/>
        </w:rPr>
      </w:pPr>
      <w:r>
        <w:rPr>
          <w:rFonts w:hint="eastAsia"/>
          <w:highlight w:val="none"/>
          <w:lang w:val="en-US" w:eastAsia="zh-CN"/>
        </w:rPr>
        <w:t>各级预警后采取的应急响应措施应包括但不限于：</w:t>
      </w:r>
    </w:p>
    <w:p w14:paraId="7478C83C">
      <w:pPr>
        <w:pStyle w:val="175"/>
        <w:numPr>
          <w:ilvl w:val="0"/>
          <w:numId w:val="35"/>
        </w:numPr>
        <w:rPr>
          <w:rFonts w:hint="eastAsia"/>
          <w:lang w:val="en-US" w:eastAsia="zh-CN"/>
        </w:rPr>
      </w:pPr>
      <w:r>
        <w:rPr>
          <w:rFonts w:hint="eastAsia"/>
          <w:lang w:val="en-US" w:eastAsia="zh-CN"/>
        </w:rPr>
        <w:t>黄色预警：发出预警信息或预警报告，应尽快安排现场复查或专项检查，并根据现场复查或专项检查结果决定是否调整预警级别，酌情采取临时交通管制或应急维修加固处治；若调整预警级别，则按调整后的预警级别采取相应的应急响应措施。</w:t>
      </w:r>
    </w:p>
    <w:p w14:paraId="0C24F70A">
      <w:pPr>
        <w:pStyle w:val="175"/>
        <w:numPr>
          <w:ilvl w:val="0"/>
          <w:numId w:val="35"/>
        </w:numPr>
        <w:rPr>
          <w:rFonts w:hint="eastAsia"/>
          <w:lang w:val="en-US" w:eastAsia="zh-CN"/>
        </w:rPr>
      </w:pPr>
      <w:r>
        <w:rPr>
          <w:rFonts w:hint="eastAsia"/>
          <w:lang w:val="en-US" w:eastAsia="zh-CN"/>
        </w:rPr>
        <w:t>红色预警：发出预警信息或预警报告，应采取临时交通管制或应急维修加固处治。</w:t>
      </w:r>
    </w:p>
    <w:p w14:paraId="3A25C388">
      <w:pPr>
        <w:pStyle w:val="163"/>
        <w:rPr>
          <w:rFonts w:hint="eastAsia"/>
          <w:highlight w:val="none"/>
          <w:lang w:val="en-US" w:eastAsia="zh-CN"/>
        </w:rPr>
      </w:pPr>
      <w:r>
        <w:rPr>
          <w:rFonts w:hint="eastAsia"/>
          <w:highlight w:val="none"/>
          <w:lang w:val="en-US" w:eastAsia="zh-CN"/>
        </w:rPr>
        <w:t>应急处置全过程事件应支持自动记录和归档。</w:t>
      </w:r>
    </w:p>
    <w:p w14:paraId="447A97E6">
      <w:pPr>
        <w:pStyle w:val="105"/>
        <w:spacing w:before="312" w:after="312"/>
        <w:rPr>
          <w:rFonts w:hint="default"/>
          <w:lang w:val="en-US" w:eastAsia="zh-CN"/>
        </w:rPr>
      </w:pPr>
      <w:bookmarkStart w:id="67" w:name="_Toc32330"/>
      <w:r>
        <w:rPr>
          <w:rFonts w:hint="eastAsia"/>
          <w:lang w:val="en-US" w:eastAsia="zh-CN"/>
        </w:rPr>
        <w:t>数据管理</w:t>
      </w:r>
      <w:bookmarkEnd w:id="67"/>
    </w:p>
    <w:p w14:paraId="628C4AAF">
      <w:pPr>
        <w:pStyle w:val="106"/>
        <w:spacing w:before="156" w:after="156"/>
        <w:rPr>
          <w:rFonts w:hint="default"/>
          <w:lang w:val="en-US" w:eastAsia="zh-CN"/>
        </w:rPr>
      </w:pPr>
      <w:bookmarkStart w:id="68" w:name="_Toc10043"/>
      <w:r>
        <w:rPr>
          <w:rFonts w:hint="eastAsia"/>
          <w:lang w:val="en-US" w:eastAsia="zh-CN"/>
        </w:rPr>
        <w:t>数据预处理</w:t>
      </w:r>
      <w:bookmarkEnd w:id="68"/>
    </w:p>
    <w:p w14:paraId="0B0AF524">
      <w:pPr>
        <w:pStyle w:val="166"/>
        <w:rPr>
          <w:rFonts w:hint="eastAsia"/>
          <w:lang w:val="en-US" w:eastAsia="zh-CN"/>
        </w:rPr>
      </w:pPr>
      <w:r>
        <w:rPr>
          <w:rFonts w:hint="eastAsia"/>
          <w:lang w:val="en-US" w:eastAsia="zh-CN"/>
        </w:rPr>
        <w:t>数据存储前应对数据进行预处理。</w:t>
      </w:r>
    </w:p>
    <w:p w14:paraId="71B72283">
      <w:pPr>
        <w:pStyle w:val="166"/>
        <w:rPr>
          <w:rFonts w:hint="eastAsia"/>
          <w:lang w:val="en-US" w:eastAsia="zh-CN"/>
        </w:rPr>
      </w:pPr>
      <w:r>
        <w:rPr>
          <w:rFonts w:hint="eastAsia"/>
          <w:lang w:val="en-US" w:eastAsia="zh-CN"/>
        </w:rPr>
        <w:t>数据采集设备内置的数据预处理功能应与传感器的分辨率、精度、抗电磁干扰等性能相匹配，应剔除错误数据并将原始数据换算成反映设施环境、作用、结构响应、结构变化的特征数据，并宜符合</w:t>
      </w:r>
      <w:bookmarkStart w:id="69" w:name="OLE_LINK3"/>
      <w:r>
        <w:rPr>
          <w:rFonts w:hint="eastAsia"/>
          <w:lang w:val="en-US" w:eastAsia="zh-CN"/>
        </w:rPr>
        <w:t>GB/T 38637</w:t>
      </w:r>
      <w:bookmarkEnd w:id="69"/>
      <w:r>
        <w:rPr>
          <w:rFonts w:hint="eastAsia"/>
          <w:lang w:val="en-US" w:eastAsia="zh-CN"/>
        </w:rPr>
        <w:t>的相关规定。</w:t>
      </w:r>
    </w:p>
    <w:p w14:paraId="082C2975">
      <w:pPr>
        <w:pStyle w:val="106"/>
        <w:spacing w:before="156" w:after="156"/>
        <w:rPr>
          <w:rFonts w:hint="default"/>
          <w:lang w:val="en-US" w:eastAsia="zh-CN"/>
        </w:rPr>
      </w:pPr>
      <w:bookmarkStart w:id="70" w:name="_Toc2190"/>
      <w:r>
        <w:rPr>
          <w:rFonts w:hint="eastAsia"/>
          <w:lang w:val="en-US" w:eastAsia="zh-CN"/>
        </w:rPr>
        <w:t>数据存储</w:t>
      </w:r>
      <w:bookmarkEnd w:id="70"/>
    </w:p>
    <w:p w14:paraId="3ECD8F72">
      <w:pPr>
        <w:pStyle w:val="166"/>
        <w:rPr>
          <w:rFonts w:hint="eastAsia"/>
          <w:lang w:val="en-US" w:eastAsia="zh-CN"/>
        </w:rPr>
      </w:pPr>
      <w:r>
        <w:rPr>
          <w:rFonts w:hint="eastAsia"/>
          <w:lang w:val="en-US" w:eastAsia="zh-CN"/>
        </w:rPr>
        <w:t>对系统采集的各类数据应根据其重要程度、使用频率和数据量大小进行分级分类存储管理，存储方式宜分为在线存储和离线存储。</w:t>
      </w:r>
    </w:p>
    <w:p w14:paraId="163ED812">
      <w:pPr>
        <w:pStyle w:val="166"/>
        <w:rPr>
          <w:rFonts w:hint="eastAsia"/>
          <w:lang w:val="en-US" w:eastAsia="zh-CN"/>
        </w:rPr>
      </w:pPr>
      <w:r>
        <w:rPr>
          <w:rFonts w:hint="eastAsia"/>
          <w:lang w:val="en-US" w:eastAsia="zh-CN"/>
        </w:rPr>
        <w:t>宜采用数据库技术对结构化数据进行存储，可提供存储调度、存储监控、存储管理的可视化管理界面,并能以数据接口形式对外提供数据调用和查询功能。</w:t>
      </w:r>
    </w:p>
    <w:p w14:paraId="39096A6B">
      <w:pPr>
        <w:pStyle w:val="166"/>
        <w:rPr>
          <w:rFonts w:hint="eastAsia"/>
          <w:lang w:val="en-US" w:eastAsia="zh-CN"/>
        </w:rPr>
      </w:pPr>
      <w:r>
        <w:rPr>
          <w:rFonts w:hint="eastAsia"/>
          <w:lang w:val="en-US" w:eastAsia="zh-CN"/>
        </w:rPr>
        <w:t>对于视频、图片、文档等非结构化数据，应设计完整的存入、检索、导出功能，设置适宜存储资源进行存储管理，不同数据类型应分类建立单独的存储目录结构。</w:t>
      </w:r>
    </w:p>
    <w:p w14:paraId="6F8F0FD0">
      <w:pPr>
        <w:pStyle w:val="166"/>
        <w:rPr>
          <w:rFonts w:hint="eastAsia"/>
          <w:lang w:val="en-US" w:eastAsia="zh-CN"/>
        </w:rPr>
      </w:pPr>
      <w:r>
        <w:rPr>
          <w:rFonts w:hint="eastAsia"/>
          <w:lang w:val="en-US" w:eastAsia="zh-CN"/>
        </w:rPr>
        <w:t>宜具备数据备份和故障恢复功能，并设置灾备机制对关键数据进行定期异地备份，对于故障支持自动和手工操作进行故障恢复。</w:t>
      </w:r>
    </w:p>
    <w:p w14:paraId="20184E74">
      <w:pPr>
        <w:pStyle w:val="166"/>
        <w:rPr>
          <w:rFonts w:hint="eastAsia"/>
          <w:lang w:val="en-US" w:eastAsia="zh-CN"/>
        </w:rPr>
      </w:pPr>
      <w:r>
        <w:rPr>
          <w:rFonts w:hint="eastAsia"/>
          <w:lang w:val="en-US" w:eastAsia="zh-CN"/>
        </w:rPr>
        <w:t>应考虑数据量增长对于数据存取的压力，基于数据安全和存取效率，宜探索采用读写分离、视图机制、分布式存储、时序数据库等方式。</w:t>
      </w:r>
    </w:p>
    <w:p w14:paraId="5CAB5168">
      <w:pPr>
        <w:pStyle w:val="166"/>
        <w:rPr>
          <w:rFonts w:hint="eastAsia"/>
          <w:lang w:val="en-US" w:eastAsia="zh-CN"/>
        </w:rPr>
      </w:pPr>
      <w:r>
        <w:rPr>
          <w:rFonts w:hint="eastAsia"/>
          <w:lang w:val="en-US" w:eastAsia="zh-CN"/>
        </w:rPr>
        <w:t>现场本地数据存储空间结构化原始数据应大于等于90天，非结构化视频图像数据应大于等于30天。</w:t>
      </w:r>
    </w:p>
    <w:p w14:paraId="274A36BA">
      <w:pPr>
        <w:pStyle w:val="166"/>
        <w:rPr>
          <w:rFonts w:hint="eastAsia"/>
          <w:lang w:val="en-US" w:eastAsia="zh-CN"/>
        </w:rPr>
      </w:pPr>
      <w:r>
        <w:rPr>
          <w:rFonts w:hint="eastAsia"/>
          <w:lang w:val="en-US" w:eastAsia="zh-CN"/>
        </w:rPr>
        <w:t>中心机房实时监测数据存储时间大于5年。经处理后的特征数据、超限报警、评估结果等结构化数据存储时间宜大于20年，特殊事件视频数据应转移备份并永久保存。</w:t>
      </w:r>
    </w:p>
    <w:p w14:paraId="2D6C82C5">
      <w:pPr>
        <w:pStyle w:val="166"/>
        <w:rPr>
          <w:rFonts w:hint="eastAsia"/>
          <w:lang w:val="en-US" w:eastAsia="zh-CN"/>
        </w:rPr>
      </w:pPr>
      <w:r>
        <w:rPr>
          <w:rFonts w:hint="eastAsia"/>
          <w:lang w:val="en-US" w:eastAsia="zh-CN"/>
        </w:rPr>
        <w:t>应提供存储参数配置功能，能够对各类监测数据的配置参数、处理频率、输出数据格式等进行自定义设置、修改。</w:t>
      </w:r>
    </w:p>
    <w:p w14:paraId="4D192B66">
      <w:pPr>
        <w:pStyle w:val="106"/>
        <w:spacing w:before="156" w:after="156"/>
        <w:rPr>
          <w:rFonts w:hint="default"/>
          <w:lang w:val="en-US" w:eastAsia="zh-CN"/>
        </w:rPr>
      </w:pPr>
      <w:bookmarkStart w:id="71" w:name="_Toc9295"/>
      <w:r>
        <w:rPr>
          <w:rFonts w:hint="eastAsia"/>
          <w:lang w:val="en-US" w:eastAsia="zh-CN"/>
        </w:rPr>
        <w:t>数据呈现</w:t>
      </w:r>
      <w:bookmarkEnd w:id="71"/>
    </w:p>
    <w:p w14:paraId="57161059">
      <w:pPr>
        <w:pStyle w:val="166"/>
        <w:rPr>
          <w:rFonts w:hint="eastAsia"/>
          <w:lang w:val="en-US" w:eastAsia="zh-CN"/>
        </w:rPr>
      </w:pPr>
      <w:r>
        <w:rPr>
          <w:rFonts w:hint="eastAsia"/>
          <w:lang w:val="en-US" w:eastAsia="zh-CN"/>
        </w:rPr>
        <w:t>宜能够通过可视化界面远程进行数据处理参数设置。</w:t>
      </w:r>
    </w:p>
    <w:p w14:paraId="18AB50EC">
      <w:pPr>
        <w:pStyle w:val="166"/>
        <w:rPr>
          <w:rFonts w:hint="eastAsia"/>
          <w:lang w:val="en-US" w:eastAsia="zh-CN"/>
        </w:rPr>
      </w:pPr>
      <w:r>
        <w:rPr>
          <w:rFonts w:hint="eastAsia"/>
          <w:lang w:val="en-US" w:eastAsia="zh-CN"/>
        </w:rPr>
        <w:t>应明确定义处理后监测数据的数据单位、数据方向和数据精度。</w:t>
      </w:r>
    </w:p>
    <w:p w14:paraId="0EA8C069">
      <w:pPr>
        <w:pStyle w:val="166"/>
        <w:rPr>
          <w:rFonts w:hint="default"/>
          <w:lang w:val="en-US" w:eastAsia="zh-CN"/>
        </w:rPr>
      </w:pPr>
      <w:r>
        <w:rPr>
          <w:rFonts w:hint="default"/>
          <w:lang w:val="en-US" w:eastAsia="zh-CN"/>
        </w:rPr>
        <w:t xml:space="preserve">应支持结构化数据、半结构化数据、非结构化数据等不同类型的数据呈现： </w:t>
      </w:r>
    </w:p>
    <w:p w14:paraId="19C0BB49">
      <w:pPr>
        <w:pStyle w:val="175"/>
        <w:numPr>
          <w:ilvl w:val="0"/>
          <w:numId w:val="36"/>
        </w:numPr>
        <w:rPr>
          <w:rFonts w:hint="default"/>
          <w:lang w:val="en-US" w:eastAsia="zh-CN"/>
        </w:rPr>
      </w:pPr>
      <w:r>
        <w:rPr>
          <w:rFonts w:hint="default"/>
          <w:lang w:val="en-US" w:eastAsia="zh-CN"/>
        </w:rPr>
        <w:t>结构化数据应支持柱状图、曲线图、折线图、饼状图、雷达图等可视化方法；</w:t>
      </w:r>
    </w:p>
    <w:p w14:paraId="3320AAB5">
      <w:pPr>
        <w:pStyle w:val="175"/>
        <w:numPr>
          <w:ilvl w:val="0"/>
          <w:numId w:val="36"/>
        </w:numPr>
        <w:rPr>
          <w:rFonts w:hint="default"/>
          <w:lang w:val="en-US" w:eastAsia="zh-CN"/>
        </w:rPr>
      </w:pPr>
      <w:r>
        <w:rPr>
          <w:rFonts w:hint="default"/>
          <w:lang w:val="en-US" w:eastAsia="zh-CN"/>
        </w:rPr>
        <w:t>半结构化数据应支持常用数据类型的展示和统计；</w:t>
      </w:r>
    </w:p>
    <w:p w14:paraId="4223DE1A">
      <w:pPr>
        <w:pStyle w:val="175"/>
        <w:numPr>
          <w:ilvl w:val="0"/>
          <w:numId w:val="36"/>
        </w:numPr>
        <w:rPr>
          <w:rFonts w:hint="default"/>
          <w:lang w:val="en-US" w:eastAsia="zh-CN"/>
        </w:rPr>
      </w:pPr>
      <w:r>
        <w:rPr>
          <w:rFonts w:hint="default"/>
          <w:lang w:val="en-US" w:eastAsia="zh-CN"/>
        </w:rPr>
        <w:t>非结构化数据应支持分类与浏览。</w:t>
      </w:r>
    </w:p>
    <w:p w14:paraId="008BE112">
      <w:pPr>
        <w:pStyle w:val="166"/>
        <w:rPr>
          <w:rFonts w:hint="default"/>
          <w:lang w:val="en-US" w:eastAsia="zh-CN"/>
        </w:rPr>
      </w:pPr>
      <w:r>
        <w:rPr>
          <w:rFonts w:hint="default"/>
          <w:lang w:val="en-US" w:eastAsia="zh-CN"/>
        </w:rPr>
        <w:t>应能通过缓存、内存计算、压缩传输等手段保证数据呈现良好的响应速度。</w:t>
      </w:r>
    </w:p>
    <w:p w14:paraId="63E6E013">
      <w:pPr>
        <w:pStyle w:val="166"/>
        <w:rPr>
          <w:rFonts w:hint="default"/>
          <w:lang w:val="en-US" w:eastAsia="zh-CN"/>
        </w:rPr>
      </w:pPr>
      <w:r>
        <w:rPr>
          <w:rFonts w:hint="default"/>
          <w:lang w:val="en-US" w:eastAsia="zh-CN"/>
        </w:rPr>
        <w:t>应支持数据呈现模板功能，并且具备模板整合能力。</w:t>
      </w:r>
    </w:p>
    <w:p w14:paraId="2A2AB616">
      <w:pPr>
        <w:pStyle w:val="166"/>
        <w:rPr>
          <w:rFonts w:hint="default"/>
          <w:lang w:val="en-US" w:eastAsia="zh-CN"/>
        </w:rPr>
      </w:pPr>
      <w:r>
        <w:rPr>
          <w:rFonts w:hint="default"/>
          <w:lang w:val="en-US" w:eastAsia="zh-CN"/>
        </w:rPr>
        <w:t>应具备扩展性，尤其是支持二次开发接口，能快速实现所需要的数据呈现方式。</w:t>
      </w:r>
    </w:p>
    <w:p w14:paraId="55B3D01B">
      <w:pPr>
        <w:pStyle w:val="106"/>
        <w:spacing w:before="156" w:after="156"/>
        <w:rPr>
          <w:rFonts w:hint="default"/>
          <w:lang w:val="en-US" w:eastAsia="zh-CN"/>
        </w:rPr>
      </w:pPr>
      <w:bookmarkStart w:id="72" w:name="_Toc21838"/>
      <w:r>
        <w:rPr>
          <w:rFonts w:hint="default"/>
          <w:lang w:val="en-US" w:eastAsia="zh-CN"/>
        </w:rPr>
        <w:t>数据交换</w:t>
      </w:r>
      <w:bookmarkEnd w:id="72"/>
    </w:p>
    <w:p w14:paraId="7FD14D59">
      <w:pPr>
        <w:pStyle w:val="166"/>
        <w:rPr>
          <w:rFonts w:hint="default"/>
          <w:lang w:val="en-US" w:eastAsia="zh-CN"/>
        </w:rPr>
      </w:pPr>
      <w:r>
        <w:rPr>
          <w:rFonts w:hint="default"/>
          <w:lang w:val="en-US" w:eastAsia="zh-CN"/>
        </w:rPr>
        <w:t>应保持数据</w:t>
      </w:r>
      <w:r>
        <w:rPr>
          <w:rFonts w:hint="eastAsia"/>
          <w:lang w:val="en-US" w:eastAsia="zh-CN"/>
        </w:rPr>
        <w:t>交换</w:t>
      </w:r>
      <w:r>
        <w:rPr>
          <w:rFonts w:hint="default"/>
          <w:lang w:val="en-US" w:eastAsia="zh-CN"/>
        </w:rPr>
        <w:t>过程的实时性和可靠性</w:t>
      </w:r>
      <w:r>
        <w:rPr>
          <w:rFonts w:hint="eastAsia"/>
          <w:lang w:val="en-US" w:eastAsia="zh-CN"/>
        </w:rPr>
        <w:t>。</w:t>
      </w:r>
    </w:p>
    <w:p w14:paraId="7476B610">
      <w:pPr>
        <w:pStyle w:val="166"/>
        <w:rPr>
          <w:rFonts w:hint="default"/>
          <w:lang w:val="en-US" w:eastAsia="zh-CN"/>
        </w:rPr>
      </w:pPr>
      <w:r>
        <w:rPr>
          <w:rFonts w:hint="default"/>
          <w:lang w:val="en-US" w:eastAsia="zh-CN"/>
        </w:rPr>
        <w:t>应确保</w:t>
      </w:r>
      <w:r>
        <w:rPr>
          <w:rFonts w:hint="eastAsia"/>
          <w:lang w:val="en-US" w:eastAsia="zh-CN"/>
        </w:rPr>
        <w:t>数据交换的</w:t>
      </w:r>
      <w:r>
        <w:rPr>
          <w:rFonts w:hint="default"/>
          <w:lang w:val="en-US" w:eastAsia="zh-CN"/>
        </w:rPr>
        <w:t>执行不应影响主业务逻辑</w:t>
      </w:r>
      <w:r>
        <w:rPr>
          <w:rFonts w:hint="eastAsia"/>
          <w:lang w:val="en-US" w:eastAsia="zh-CN"/>
        </w:rPr>
        <w:t>。</w:t>
      </w:r>
    </w:p>
    <w:p w14:paraId="63393A6E">
      <w:pPr>
        <w:pStyle w:val="166"/>
        <w:rPr>
          <w:rFonts w:hint="default"/>
          <w:lang w:val="en-US" w:eastAsia="zh-CN"/>
        </w:rPr>
      </w:pPr>
      <w:r>
        <w:rPr>
          <w:rFonts w:hint="default"/>
          <w:lang w:val="en-US" w:eastAsia="zh-CN"/>
        </w:rPr>
        <w:t>应支持</w:t>
      </w:r>
      <w:r>
        <w:rPr>
          <w:rFonts w:hint="eastAsia"/>
          <w:lang w:val="en-US" w:eastAsia="zh-CN"/>
        </w:rPr>
        <w:t>数据交换</w:t>
      </w:r>
      <w:r>
        <w:rPr>
          <w:rFonts w:hint="default"/>
          <w:lang w:val="en-US" w:eastAsia="zh-CN"/>
        </w:rPr>
        <w:t>日志的查询操作。</w:t>
      </w:r>
    </w:p>
    <w:p w14:paraId="011064E4">
      <w:pPr>
        <w:pStyle w:val="106"/>
        <w:spacing w:before="156" w:after="156"/>
        <w:rPr>
          <w:rFonts w:hint="default"/>
          <w:lang w:val="en-US" w:eastAsia="zh-CN"/>
        </w:rPr>
      </w:pPr>
      <w:bookmarkStart w:id="73" w:name="_Toc11068"/>
      <w:r>
        <w:rPr>
          <w:rFonts w:hint="eastAsia"/>
          <w:lang w:val="en-US" w:eastAsia="zh-CN"/>
        </w:rPr>
        <w:t>数据质量</w:t>
      </w:r>
      <w:bookmarkEnd w:id="73"/>
    </w:p>
    <w:p w14:paraId="0D674D32">
      <w:pPr>
        <w:pStyle w:val="166"/>
        <w:rPr>
          <w:rFonts w:hint="eastAsia"/>
          <w:lang w:val="en-US" w:eastAsia="zh-CN"/>
        </w:rPr>
      </w:pPr>
      <w:r>
        <w:rPr>
          <w:rFonts w:hint="eastAsia"/>
          <w:lang w:val="en-US" w:eastAsia="zh-CN"/>
        </w:rPr>
        <w:t>数据质量评估是针对现有的数据质量问题，通过测试和改善数据综合特征来优化数据使用价值的过程。数据质量的评估指标及方法见</w:t>
      </w:r>
      <w:r>
        <w:rPr>
          <w:rFonts w:hint="default"/>
          <w:highlight w:val="none"/>
          <w:lang w:val="en-US" w:eastAsia="zh-CN"/>
        </w:rPr>
        <w:t>GB/T</w:t>
      </w:r>
      <w:r>
        <w:rPr>
          <w:rFonts w:hint="eastAsia"/>
          <w:highlight w:val="none"/>
          <w:lang w:val="en-US" w:eastAsia="zh-CN"/>
        </w:rPr>
        <w:t xml:space="preserve"> 36344</w:t>
      </w:r>
      <w:r>
        <w:rPr>
          <w:rFonts w:hint="eastAsia"/>
          <w:lang w:val="en-US" w:eastAsia="zh-CN"/>
        </w:rPr>
        <w:t>。</w:t>
      </w:r>
    </w:p>
    <w:p w14:paraId="75F05091">
      <w:pPr>
        <w:pStyle w:val="106"/>
        <w:spacing w:before="156" w:after="156"/>
        <w:rPr>
          <w:rFonts w:hint="default"/>
          <w:lang w:val="en-US" w:eastAsia="zh-CN"/>
        </w:rPr>
      </w:pPr>
      <w:bookmarkStart w:id="74" w:name="_Toc19872"/>
      <w:r>
        <w:rPr>
          <w:rFonts w:hint="eastAsia"/>
          <w:lang w:val="en-US" w:eastAsia="zh-CN"/>
        </w:rPr>
        <w:t>数据安全</w:t>
      </w:r>
      <w:bookmarkEnd w:id="74"/>
    </w:p>
    <w:p w14:paraId="3C295D56">
      <w:pPr>
        <w:pStyle w:val="166"/>
        <w:rPr>
          <w:rFonts w:hint="default"/>
          <w:lang w:val="en-US" w:eastAsia="zh-CN"/>
        </w:rPr>
      </w:pPr>
      <w:r>
        <w:rPr>
          <w:rFonts w:hint="default"/>
          <w:lang w:val="en-US" w:eastAsia="zh-CN"/>
        </w:rPr>
        <w:t>数据传输完整性宜符合 GB/T 37025 的相关规定</w:t>
      </w:r>
      <w:r>
        <w:rPr>
          <w:rFonts w:hint="eastAsia"/>
          <w:lang w:val="en-US" w:eastAsia="zh-CN"/>
        </w:rPr>
        <w:t>。</w:t>
      </w:r>
    </w:p>
    <w:p w14:paraId="3D99C1AC">
      <w:pPr>
        <w:pStyle w:val="166"/>
        <w:rPr>
          <w:rFonts w:hint="default"/>
          <w:lang w:val="en-US" w:eastAsia="zh-CN"/>
        </w:rPr>
      </w:pPr>
      <w:r>
        <w:rPr>
          <w:rFonts w:hint="default"/>
          <w:lang w:val="en-US" w:eastAsia="zh-CN"/>
        </w:rPr>
        <w:t>对系统敏感字段或业务数据应加密存储。</w:t>
      </w:r>
    </w:p>
    <w:p w14:paraId="796B8310">
      <w:pPr>
        <w:pStyle w:val="166"/>
        <w:rPr>
          <w:rFonts w:hint="default"/>
          <w:lang w:val="en-US" w:eastAsia="zh-CN"/>
        </w:rPr>
      </w:pPr>
      <w:r>
        <w:rPr>
          <w:rFonts w:hint="default"/>
          <w:lang w:val="en-US" w:eastAsia="zh-CN"/>
        </w:rPr>
        <w:t>通过公网传输监测数据时，应根据管理要求进行加密传输，加密过程应使用国家密码管理部门批准使用的算法。</w:t>
      </w:r>
    </w:p>
    <w:p w14:paraId="5376139D">
      <w:pPr>
        <w:pStyle w:val="166"/>
        <w:rPr>
          <w:rFonts w:hint="default"/>
          <w:lang w:val="en-US" w:eastAsia="zh-CN"/>
        </w:rPr>
      </w:pPr>
      <w:r>
        <w:rPr>
          <w:rFonts w:hint="default"/>
          <w:lang w:val="en-US" w:eastAsia="zh-CN"/>
        </w:rPr>
        <w:t>数据审计应具备监测记录外部用户访问监测数据行为的功能。</w:t>
      </w:r>
    </w:p>
    <w:p w14:paraId="59B46051">
      <w:pPr>
        <w:pStyle w:val="166"/>
        <w:rPr>
          <w:rFonts w:hint="default"/>
          <w:lang w:val="en-US" w:eastAsia="zh-CN"/>
        </w:rPr>
      </w:pPr>
      <w:r>
        <w:rPr>
          <w:rFonts w:hint="default"/>
          <w:lang w:val="en-US" w:eastAsia="zh-CN"/>
        </w:rPr>
        <w:t>系统应具备数据访问权限控制功能，能够对用户访问权限进行分级管理。</w:t>
      </w:r>
    </w:p>
    <w:p w14:paraId="769C1016">
      <w:pPr>
        <w:pStyle w:val="166"/>
        <w:rPr>
          <w:rFonts w:hint="default"/>
          <w:lang w:val="en-US" w:eastAsia="zh-CN"/>
        </w:rPr>
      </w:pPr>
      <w:r>
        <w:rPr>
          <w:rFonts w:hint="default"/>
          <w:lang w:val="en-US" w:eastAsia="zh-CN"/>
        </w:rPr>
        <w:t>数据提供给第三方访问时，应严格限制默认账户的访问权限，定期修改账户的口令。</w:t>
      </w:r>
    </w:p>
    <w:p w14:paraId="204D84D8">
      <w:pPr>
        <w:pStyle w:val="166"/>
        <w:spacing w:before="156" w:after="156"/>
        <w:sectPr>
          <w:footerReference r:id="rId13" w:type="default"/>
          <w:pgSz w:w="11906" w:h="16838"/>
          <w:pgMar w:top="1928" w:right="1134" w:bottom="1134" w:left="1134" w:header="1418" w:footer="1134" w:gutter="284"/>
          <w:pgBorders>
            <w:top w:val="none" w:sz="0" w:space="0"/>
            <w:left w:val="none" w:sz="0" w:space="0"/>
            <w:bottom w:val="none" w:sz="0" w:space="0"/>
            <w:right w:val="none" w:sz="0" w:space="0"/>
          </w:pgBorders>
          <w:pgNumType w:start="1"/>
          <w:cols w:space="425" w:num="1"/>
          <w:formProt w:val="0"/>
          <w:docGrid w:type="lines" w:linePitch="312" w:charSpace="0"/>
        </w:sectPr>
      </w:pPr>
    </w:p>
    <w:bookmarkEnd w:id="26"/>
    <w:p w14:paraId="5BC144B6">
      <w:pPr>
        <w:pStyle w:val="77"/>
        <w:spacing w:after="156"/>
      </w:pPr>
      <w:bookmarkStart w:id="75" w:name="_Toc23047"/>
      <w:bookmarkStart w:id="76" w:name="_Toc7447"/>
      <w:r>
        <w:br w:type="textWrapping"/>
      </w:r>
      <w:r>
        <w:rPr>
          <w:rFonts w:hint="eastAsia"/>
        </w:rPr>
        <w:t>（规范性）</w:t>
      </w:r>
      <w:r>
        <w:br w:type="textWrapping"/>
      </w:r>
      <w:bookmarkEnd w:id="75"/>
      <w:r>
        <w:rPr>
          <w:rFonts w:hint="eastAsia" w:ascii="黑体" w:hAnsi="宋体" w:eastAsia="黑体" w:cs="黑体"/>
          <w:color w:val="000000"/>
          <w:kern w:val="0"/>
          <w:sz w:val="21"/>
          <w:szCs w:val="21"/>
          <w:lang w:val="en-US" w:eastAsia="zh-CN" w:bidi="ar"/>
        </w:rPr>
        <w:t>内河水运设施</w:t>
      </w:r>
      <w:r>
        <w:rPr>
          <w:rFonts w:hint="eastAsia" w:hAnsi="宋体" w:cs="黑体"/>
          <w:color w:val="000000"/>
          <w:kern w:val="0"/>
          <w:sz w:val="21"/>
          <w:szCs w:val="21"/>
          <w:lang w:val="en-US" w:eastAsia="zh-CN" w:bidi="ar"/>
        </w:rPr>
        <w:t>健康</w:t>
      </w:r>
      <w:r>
        <w:rPr>
          <w:rFonts w:hint="eastAsia"/>
          <w:lang w:val="en-US" w:eastAsia="zh-CN"/>
        </w:rPr>
        <w:t>监测与预警项目级平台分类</w:t>
      </w:r>
      <w:bookmarkEnd w:id="76"/>
    </w:p>
    <w:p w14:paraId="580C88B6">
      <w:pPr>
        <w:pStyle w:val="57"/>
        <w:rPr>
          <w:rFonts w:hint="default"/>
          <w:lang w:val="en-US" w:eastAsia="zh-CN"/>
        </w:rPr>
      </w:pPr>
      <w:r>
        <w:rPr>
          <w:rFonts w:hint="eastAsia"/>
          <w:lang w:val="en-US" w:eastAsia="zh-CN"/>
        </w:rPr>
        <w:t>表A.1定义了内河水运设施健康监测与预警项目级平台各类系统监测目的和适用范围。</w:t>
      </w:r>
    </w:p>
    <w:p w14:paraId="16E88F54">
      <w:pPr>
        <w:pStyle w:val="78"/>
        <w:numPr>
          <w:ilvl w:val="1"/>
          <w:numId w:val="0"/>
        </w:numPr>
        <w:spacing w:before="156" w:after="156"/>
        <w:rPr>
          <w:rFonts w:hint="default"/>
          <w:lang w:val="en-US"/>
        </w:rPr>
      </w:pPr>
      <w:r>
        <w:rPr>
          <w:rFonts w:hint="eastAsia"/>
        </w:rPr>
        <w:t>表</w:t>
      </w:r>
      <w:r>
        <w:rPr>
          <w:rFonts w:hint="eastAsia"/>
          <w:lang w:val="en-US" w:eastAsia="zh-CN"/>
        </w:rPr>
        <w:t>A.</w:t>
      </w:r>
      <w:r>
        <w:rPr>
          <w:rFonts w:hint="eastAsia"/>
        </w:rPr>
        <w:t xml:space="preserve">1 </w:t>
      </w:r>
      <w:r>
        <w:rPr>
          <w:rFonts w:hint="eastAsia" w:ascii="黑体" w:hAnsi="宋体" w:eastAsia="黑体" w:cs="黑体"/>
          <w:color w:val="000000"/>
          <w:kern w:val="0"/>
          <w:sz w:val="21"/>
          <w:szCs w:val="21"/>
          <w:lang w:val="en-US" w:eastAsia="zh-CN" w:bidi="ar"/>
        </w:rPr>
        <w:t xml:space="preserve"> </w:t>
      </w:r>
      <w:r>
        <w:rPr>
          <w:rFonts w:hint="eastAsia"/>
          <w:highlight w:val="none"/>
          <w:lang w:val="en-US" w:eastAsia="zh-CN"/>
        </w:rPr>
        <w:t>内河水运设施健康监测与预警项目级平台分类表</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5"/>
        <w:gridCol w:w="834"/>
        <w:gridCol w:w="2366"/>
        <w:gridCol w:w="2150"/>
        <w:gridCol w:w="3525"/>
      </w:tblGrid>
      <w:tr w14:paraId="42736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tcBorders>
              <w:top w:val="single" w:color="000000" w:sz="12" w:space="0"/>
              <w:left w:val="single" w:color="000000" w:sz="12" w:space="0"/>
              <w:bottom w:val="single" w:color="000000" w:sz="4" w:space="0"/>
              <w:right w:val="single" w:color="000000" w:sz="4" w:space="0"/>
              <w:tl2br w:val="nil"/>
            </w:tcBorders>
            <w:shd w:val="clear" w:color="auto" w:fill="FFFFFF"/>
          </w:tcPr>
          <w:p w14:paraId="39B426E7">
            <w:pPr>
              <w:pStyle w:val="57"/>
              <w:ind w:left="0" w:leftChars="0" w:firstLine="0" w:firstLineChars="0"/>
              <w:jc w:val="center"/>
              <w:rPr>
                <w:rFonts w:hint="eastAsia" w:eastAsia="宋体"/>
                <w:b w:val="0"/>
                <w:color w:val="000000"/>
                <w:sz w:val="18"/>
                <w:szCs w:val="18"/>
                <w:vertAlign w:val="baseline"/>
                <w:lang w:val="en-US" w:eastAsia="zh-CN"/>
              </w:rPr>
            </w:pPr>
            <w:r>
              <w:rPr>
                <w:rFonts w:hint="eastAsia"/>
                <w:b w:val="0"/>
                <w:color w:val="000000"/>
                <w:sz w:val="18"/>
                <w:szCs w:val="18"/>
                <w:vertAlign w:val="baseline"/>
                <w:lang w:val="en-US" w:eastAsia="zh-CN"/>
              </w:rPr>
              <w:t>序号</w:t>
            </w:r>
          </w:p>
        </w:tc>
        <w:tc>
          <w:tcPr>
            <w:tcW w:w="834" w:type="dxa"/>
            <w:tcBorders>
              <w:top w:val="single" w:color="000000" w:sz="12" w:space="0"/>
              <w:left w:val="single" w:color="000000" w:sz="4" w:space="0"/>
              <w:bottom w:val="single" w:color="000000" w:sz="4" w:space="0"/>
              <w:right w:val="single" w:color="000000" w:sz="4" w:space="0"/>
            </w:tcBorders>
            <w:shd w:val="clear" w:color="auto" w:fill="FFFFFF"/>
          </w:tcPr>
          <w:p w14:paraId="19B0D7BC">
            <w:pPr>
              <w:pStyle w:val="57"/>
              <w:ind w:left="0" w:leftChars="0" w:firstLine="0" w:firstLineChars="0"/>
              <w:jc w:val="center"/>
              <w:rPr>
                <w:rFonts w:hint="eastAsia" w:eastAsia="宋体"/>
                <w:b w:val="0"/>
                <w:color w:val="000000"/>
                <w:sz w:val="18"/>
                <w:szCs w:val="18"/>
                <w:vertAlign w:val="baseline"/>
                <w:lang w:val="en-US" w:eastAsia="zh-CN"/>
              </w:rPr>
            </w:pPr>
            <w:r>
              <w:rPr>
                <w:rFonts w:hint="eastAsia"/>
                <w:b w:val="0"/>
                <w:color w:val="000000"/>
                <w:sz w:val="18"/>
                <w:szCs w:val="18"/>
                <w:vertAlign w:val="baseline"/>
                <w:lang w:val="en-US" w:eastAsia="zh-CN"/>
              </w:rPr>
              <w:t>类别</w:t>
            </w:r>
          </w:p>
        </w:tc>
        <w:tc>
          <w:tcPr>
            <w:tcW w:w="2366" w:type="dxa"/>
            <w:tcBorders>
              <w:top w:val="single" w:color="000000" w:sz="12" w:space="0"/>
              <w:left w:val="single" w:color="000000" w:sz="4" w:space="0"/>
              <w:bottom w:val="single" w:color="000000" w:sz="4" w:space="0"/>
              <w:right w:val="single" w:color="000000" w:sz="4" w:space="0"/>
            </w:tcBorders>
            <w:shd w:val="clear" w:color="auto" w:fill="FFFFFF"/>
          </w:tcPr>
          <w:p w14:paraId="58C5C4B9">
            <w:pPr>
              <w:pStyle w:val="57"/>
              <w:ind w:left="0" w:leftChars="0" w:firstLine="0" w:firstLineChars="0"/>
              <w:jc w:val="center"/>
              <w:rPr>
                <w:rFonts w:hint="default" w:eastAsia="宋体"/>
                <w:b w:val="0"/>
                <w:color w:val="000000"/>
                <w:sz w:val="18"/>
                <w:szCs w:val="18"/>
                <w:vertAlign w:val="baseline"/>
                <w:lang w:val="en-US" w:eastAsia="zh-CN"/>
              </w:rPr>
            </w:pPr>
            <w:r>
              <w:rPr>
                <w:rFonts w:hint="eastAsia"/>
                <w:b w:val="0"/>
                <w:color w:val="000000"/>
                <w:sz w:val="18"/>
                <w:szCs w:val="18"/>
                <w:vertAlign w:val="baseline"/>
                <w:lang w:val="en-US" w:eastAsia="zh-CN"/>
              </w:rPr>
              <w:t>名称</w:t>
            </w:r>
          </w:p>
        </w:tc>
        <w:tc>
          <w:tcPr>
            <w:tcW w:w="2150" w:type="dxa"/>
            <w:tcBorders>
              <w:top w:val="single" w:color="000000" w:sz="12" w:space="0"/>
              <w:left w:val="single" w:color="000000" w:sz="4" w:space="0"/>
              <w:bottom w:val="single" w:color="000000" w:sz="4" w:space="0"/>
              <w:right w:val="single" w:color="000000" w:sz="4" w:space="0"/>
            </w:tcBorders>
            <w:shd w:val="clear" w:color="auto" w:fill="FFFFFF"/>
          </w:tcPr>
          <w:p w14:paraId="4865CB2B">
            <w:pPr>
              <w:pStyle w:val="57"/>
              <w:ind w:left="0" w:leftChars="0" w:firstLine="0" w:firstLineChars="0"/>
              <w:jc w:val="center"/>
              <w:rPr>
                <w:rFonts w:hint="eastAsia" w:eastAsia="宋体"/>
                <w:b w:val="0"/>
                <w:color w:val="000000"/>
                <w:sz w:val="18"/>
                <w:szCs w:val="18"/>
                <w:vertAlign w:val="baseline"/>
                <w:lang w:val="en-US" w:eastAsia="zh-CN"/>
              </w:rPr>
            </w:pPr>
            <w:r>
              <w:rPr>
                <w:rFonts w:hint="eastAsia"/>
                <w:b w:val="0"/>
                <w:color w:val="000000"/>
                <w:sz w:val="18"/>
                <w:szCs w:val="18"/>
                <w:vertAlign w:val="baseline"/>
                <w:lang w:val="en-US" w:eastAsia="zh-CN"/>
              </w:rPr>
              <w:t>监测目的</w:t>
            </w:r>
          </w:p>
        </w:tc>
        <w:tc>
          <w:tcPr>
            <w:tcW w:w="3525" w:type="dxa"/>
            <w:tcBorders>
              <w:top w:val="single" w:color="000000" w:sz="12" w:space="0"/>
              <w:left w:val="single" w:color="000000" w:sz="4" w:space="0"/>
              <w:bottom w:val="single" w:color="000000" w:sz="4" w:space="0"/>
              <w:right w:val="single" w:color="000000" w:sz="12" w:space="0"/>
            </w:tcBorders>
            <w:shd w:val="clear" w:color="auto" w:fill="FFFFFF"/>
          </w:tcPr>
          <w:p w14:paraId="4088E3C7">
            <w:pPr>
              <w:pStyle w:val="57"/>
              <w:ind w:left="0" w:leftChars="0" w:firstLine="0" w:firstLineChars="0"/>
              <w:jc w:val="center"/>
              <w:rPr>
                <w:rFonts w:hint="default" w:eastAsia="宋体"/>
                <w:b w:val="0"/>
                <w:color w:val="000000"/>
                <w:sz w:val="18"/>
                <w:szCs w:val="18"/>
                <w:vertAlign w:val="baseline"/>
                <w:lang w:val="en-US" w:eastAsia="zh-CN"/>
              </w:rPr>
            </w:pPr>
            <w:r>
              <w:rPr>
                <w:rFonts w:hint="eastAsia"/>
                <w:b w:val="0"/>
                <w:color w:val="000000"/>
                <w:sz w:val="18"/>
                <w:szCs w:val="18"/>
                <w:vertAlign w:val="baseline"/>
                <w:lang w:val="en-US" w:eastAsia="zh-CN"/>
              </w:rPr>
              <w:t>适用场景</w:t>
            </w:r>
          </w:p>
        </w:tc>
      </w:tr>
      <w:tr w14:paraId="0E34A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tcBorders>
              <w:top w:val="single" w:color="000000" w:sz="4" w:space="0"/>
              <w:left w:val="single" w:color="000000" w:sz="12" w:space="0"/>
              <w:bottom w:val="single" w:color="000000" w:sz="4" w:space="0"/>
              <w:right w:val="single" w:color="000000" w:sz="4" w:space="0"/>
            </w:tcBorders>
            <w:shd w:val="clear" w:color="auto" w:fill="FFFFFF"/>
          </w:tcPr>
          <w:p w14:paraId="2EE0C2B6">
            <w:pPr>
              <w:pStyle w:val="57"/>
              <w:ind w:left="0" w:leftChars="0" w:firstLine="0" w:firstLineChars="0"/>
              <w:jc w:val="center"/>
              <w:rPr>
                <w:rFonts w:hint="eastAsia"/>
                <w:b w:val="0"/>
                <w:color w:val="000000"/>
                <w:sz w:val="18"/>
                <w:szCs w:val="18"/>
                <w:vertAlign w:val="baseline"/>
                <w:lang w:val="en-US" w:eastAsia="zh-CN"/>
              </w:rPr>
            </w:pPr>
            <w:r>
              <w:rPr>
                <w:rFonts w:hint="eastAsia"/>
                <w:b w:val="0"/>
                <w:color w:val="000000"/>
                <w:sz w:val="18"/>
                <w:szCs w:val="18"/>
                <w:vertAlign w:val="baseline"/>
                <w:lang w:val="en-US" w:eastAsia="zh-CN"/>
              </w:rPr>
              <w:t>1</w:t>
            </w:r>
          </w:p>
        </w:tc>
        <w:tc>
          <w:tcPr>
            <w:tcW w:w="834" w:type="dxa"/>
            <w:tcBorders>
              <w:top w:val="single" w:color="000000" w:sz="4" w:space="0"/>
              <w:left w:val="single" w:color="000000" w:sz="4" w:space="0"/>
              <w:bottom w:val="single" w:color="000000" w:sz="4" w:space="0"/>
              <w:right w:val="single" w:color="000000" w:sz="4" w:space="0"/>
            </w:tcBorders>
            <w:shd w:val="clear" w:color="auto" w:fill="FFFFFF"/>
          </w:tcPr>
          <w:p w14:paraId="2E7FD8C8">
            <w:pPr>
              <w:pStyle w:val="57"/>
              <w:ind w:left="0" w:leftChars="0" w:firstLine="0" w:firstLineChars="0"/>
              <w:jc w:val="center"/>
              <w:rPr>
                <w:rFonts w:hint="eastAsia"/>
                <w:b w:val="0"/>
                <w:color w:val="000000"/>
                <w:sz w:val="18"/>
                <w:szCs w:val="18"/>
                <w:vertAlign w:val="baseline"/>
                <w:lang w:val="en-US" w:eastAsia="zh-CN"/>
              </w:rPr>
            </w:pPr>
            <w:r>
              <w:rPr>
                <w:rFonts w:hint="eastAsia"/>
                <w:b w:val="0"/>
                <w:color w:val="000000"/>
                <w:sz w:val="18"/>
                <w:szCs w:val="18"/>
                <w:highlight w:val="none"/>
                <w:lang w:val="en-US" w:eastAsia="zh-CN"/>
              </w:rPr>
              <w:t>Ⅰ类</w:t>
            </w:r>
          </w:p>
        </w:tc>
        <w:tc>
          <w:tcPr>
            <w:tcW w:w="2366" w:type="dxa"/>
            <w:tcBorders>
              <w:top w:val="single" w:color="000000" w:sz="4" w:space="0"/>
              <w:left w:val="single" w:color="000000" w:sz="4" w:space="0"/>
              <w:bottom w:val="single" w:color="000000" w:sz="4" w:space="0"/>
              <w:right w:val="single" w:color="000000" w:sz="4" w:space="0"/>
            </w:tcBorders>
            <w:shd w:val="clear" w:color="auto" w:fill="FFFFFF"/>
          </w:tcPr>
          <w:p w14:paraId="0DEBB3EE">
            <w:pPr>
              <w:pStyle w:val="57"/>
              <w:ind w:left="0" w:leftChars="0" w:firstLine="0" w:firstLineChars="0"/>
              <w:jc w:val="center"/>
              <w:rPr>
                <w:rFonts w:hint="eastAsia"/>
                <w:b w:val="0"/>
                <w:color w:val="000000"/>
                <w:sz w:val="18"/>
                <w:szCs w:val="18"/>
                <w:vertAlign w:val="baseline"/>
                <w:lang w:val="en-US" w:eastAsia="zh-CN"/>
              </w:rPr>
            </w:pPr>
            <w:r>
              <w:rPr>
                <w:rFonts w:hint="eastAsia"/>
                <w:b w:val="0"/>
                <w:color w:val="000000"/>
                <w:sz w:val="18"/>
                <w:szCs w:val="18"/>
                <w:highlight w:val="none"/>
                <w:lang w:val="en-US" w:eastAsia="zh-CN"/>
              </w:rPr>
              <w:t>综合集成监测系统</w:t>
            </w:r>
          </w:p>
        </w:tc>
        <w:tc>
          <w:tcPr>
            <w:tcW w:w="2150" w:type="dxa"/>
            <w:tcBorders>
              <w:top w:val="single" w:color="000000" w:sz="4" w:space="0"/>
              <w:left w:val="single" w:color="000000" w:sz="4" w:space="0"/>
              <w:bottom w:val="single" w:color="000000" w:sz="4" w:space="0"/>
              <w:right w:val="single" w:color="000000" w:sz="4" w:space="0"/>
            </w:tcBorders>
            <w:shd w:val="clear" w:color="auto" w:fill="FFFFFF"/>
          </w:tcPr>
          <w:p w14:paraId="34390FF3">
            <w:pPr>
              <w:pStyle w:val="57"/>
              <w:ind w:left="0" w:leftChars="0" w:firstLine="0" w:firstLineChars="0"/>
              <w:jc w:val="left"/>
              <w:rPr>
                <w:rFonts w:hint="eastAsia"/>
                <w:b w:val="0"/>
                <w:color w:val="000000"/>
                <w:sz w:val="18"/>
                <w:szCs w:val="18"/>
                <w:vertAlign w:val="baseline"/>
                <w:lang w:val="en-US" w:eastAsia="zh-CN"/>
              </w:rPr>
            </w:pPr>
            <w:r>
              <w:rPr>
                <w:rFonts w:hint="eastAsia"/>
                <w:b w:val="0"/>
                <w:color w:val="000000"/>
                <w:sz w:val="18"/>
                <w:szCs w:val="18"/>
                <w:vertAlign w:val="baseline"/>
                <w:lang w:val="en-US" w:eastAsia="zh-CN"/>
              </w:rPr>
              <w:t>保障水运基础设施结构整体安全和使用功能为目标，对结构安全风险进行全面综合的长期监测。</w:t>
            </w:r>
          </w:p>
        </w:tc>
        <w:tc>
          <w:tcPr>
            <w:tcW w:w="3525" w:type="dxa"/>
            <w:tcBorders>
              <w:top w:val="single" w:color="000000" w:sz="4" w:space="0"/>
              <w:left w:val="single" w:color="000000" w:sz="4" w:space="0"/>
              <w:bottom w:val="single" w:color="000000" w:sz="4" w:space="0"/>
              <w:right w:val="single" w:color="000000" w:sz="12" w:space="0"/>
            </w:tcBorders>
            <w:shd w:val="clear" w:color="auto" w:fill="FFFFFF"/>
          </w:tcPr>
          <w:p w14:paraId="75565B35">
            <w:pPr>
              <w:pStyle w:val="57"/>
              <w:ind w:left="0" w:leftChars="0" w:firstLine="0" w:firstLineChars="0"/>
              <w:jc w:val="left"/>
              <w:rPr>
                <w:rFonts w:hint="eastAsia"/>
                <w:b w:val="0"/>
                <w:color w:val="000000"/>
                <w:sz w:val="18"/>
                <w:szCs w:val="18"/>
                <w:vertAlign w:val="baseline"/>
                <w:lang w:val="en-US" w:eastAsia="zh-CN"/>
              </w:rPr>
            </w:pPr>
            <w:r>
              <w:rPr>
                <w:rFonts w:hint="eastAsia"/>
                <w:b w:val="0"/>
                <w:color w:val="000000"/>
                <w:sz w:val="18"/>
                <w:szCs w:val="18"/>
                <w:vertAlign w:val="baseline"/>
                <w:lang w:val="en-US" w:eastAsia="zh-CN"/>
              </w:rPr>
              <w:t>常适用于结构复杂的重要内河水运设施，或服役时间较长、结构技术状况明显下降的设施，全面梳理和分析其结构安全风险隐患后，可对多个风险致因进行全面监测和综合评估。</w:t>
            </w:r>
          </w:p>
        </w:tc>
      </w:tr>
      <w:tr w14:paraId="3FDBE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tcBorders>
              <w:top w:val="single" w:color="000000" w:sz="4" w:space="0"/>
              <w:left w:val="single" w:color="000000" w:sz="12" w:space="0"/>
              <w:bottom w:val="single" w:color="000000" w:sz="4" w:space="0"/>
              <w:right w:val="single" w:color="000000" w:sz="4" w:space="0"/>
            </w:tcBorders>
            <w:shd w:val="clear" w:color="auto" w:fill="FFFFFF"/>
          </w:tcPr>
          <w:p w14:paraId="5A7220D7">
            <w:pPr>
              <w:pStyle w:val="57"/>
              <w:ind w:left="0" w:leftChars="0" w:firstLine="0" w:firstLineChars="0"/>
              <w:jc w:val="center"/>
              <w:rPr>
                <w:rFonts w:hint="eastAsia"/>
                <w:b w:val="0"/>
                <w:color w:val="000000"/>
                <w:sz w:val="18"/>
                <w:szCs w:val="18"/>
                <w:vertAlign w:val="baseline"/>
                <w:lang w:val="en-US" w:eastAsia="zh-CN"/>
              </w:rPr>
            </w:pPr>
            <w:r>
              <w:rPr>
                <w:rFonts w:hint="eastAsia"/>
                <w:b w:val="0"/>
                <w:color w:val="000000"/>
                <w:sz w:val="18"/>
                <w:szCs w:val="18"/>
                <w:vertAlign w:val="baseline"/>
                <w:lang w:val="en-US" w:eastAsia="zh-CN"/>
              </w:rPr>
              <w:t>2</w:t>
            </w:r>
          </w:p>
        </w:tc>
        <w:tc>
          <w:tcPr>
            <w:tcW w:w="834" w:type="dxa"/>
            <w:tcBorders>
              <w:top w:val="single" w:color="000000" w:sz="4" w:space="0"/>
              <w:left w:val="single" w:color="000000" w:sz="4" w:space="0"/>
              <w:bottom w:val="single" w:color="000000" w:sz="4" w:space="0"/>
              <w:right w:val="single" w:color="000000" w:sz="4" w:space="0"/>
            </w:tcBorders>
            <w:shd w:val="clear" w:color="auto" w:fill="FFFFFF"/>
          </w:tcPr>
          <w:p w14:paraId="31325386">
            <w:pPr>
              <w:pStyle w:val="57"/>
              <w:ind w:left="0" w:leftChars="0" w:firstLine="0" w:firstLineChars="0"/>
              <w:jc w:val="center"/>
              <w:rPr>
                <w:rFonts w:hint="eastAsia"/>
                <w:b w:val="0"/>
                <w:color w:val="000000"/>
                <w:sz w:val="18"/>
                <w:szCs w:val="18"/>
                <w:vertAlign w:val="baseline"/>
                <w:lang w:val="en-US" w:eastAsia="zh-CN"/>
              </w:rPr>
            </w:pPr>
            <w:r>
              <w:rPr>
                <w:rFonts w:hint="eastAsia"/>
                <w:b w:val="0"/>
                <w:color w:val="000000"/>
                <w:sz w:val="18"/>
                <w:szCs w:val="18"/>
                <w:highlight w:val="none"/>
                <w:lang w:val="en-US" w:eastAsia="zh-CN"/>
              </w:rPr>
              <w:t>Ⅱ类</w:t>
            </w:r>
          </w:p>
        </w:tc>
        <w:tc>
          <w:tcPr>
            <w:tcW w:w="2366" w:type="dxa"/>
            <w:tcBorders>
              <w:top w:val="single" w:color="000000" w:sz="4" w:space="0"/>
              <w:left w:val="single" w:color="000000" w:sz="4" w:space="0"/>
              <w:bottom w:val="single" w:color="000000" w:sz="4" w:space="0"/>
              <w:right w:val="single" w:color="000000" w:sz="4" w:space="0"/>
            </w:tcBorders>
            <w:shd w:val="clear" w:color="auto" w:fill="FFFFFF"/>
          </w:tcPr>
          <w:p w14:paraId="5B84EA49">
            <w:pPr>
              <w:pStyle w:val="57"/>
              <w:ind w:left="0" w:leftChars="0" w:firstLine="0" w:firstLineChars="0"/>
              <w:jc w:val="center"/>
              <w:rPr>
                <w:rFonts w:hint="eastAsia"/>
                <w:b w:val="0"/>
                <w:color w:val="000000"/>
                <w:sz w:val="18"/>
                <w:szCs w:val="18"/>
                <w:highlight w:val="none"/>
                <w:lang w:val="en-US" w:eastAsia="zh-CN"/>
              </w:rPr>
            </w:pPr>
            <w:r>
              <w:rPr>
                <w:rFonts w:hint="eastAsia"/>
                <w:b w:val="0"/>
                <w:color w:val="000000"/>
                <w:sz w:val="18"/>
                <w:szCs w:val="18"/>
                <w:highlight w:val="none"/>
                <w:lang w:val="en-US" w:eastAsia="zh-CN"/>
              </w:rPr>
              <w:t>特定风险分析与预警</w:t>
            </w:r>
          </w:p>
          <w:p w14:paraId="0886D2D3">
            <w:pPr>
              <w:pStyle w:val="57"/>
              <w:ind w:left="0" w:leftChars="0" w:firstLine="0" w:firstLineChars="0"/>
              <w:jc w:val="center"/>
              <w:rPr>
                <w:rFonts w:hint="eastAsia"/>
                <w:b w:val="0"/>
                <w:color w:val="000000"/>
                <w:sz w:val="18"/>
                <w:szCs w:val="18"/>
                <w:vertAlign w:val="baseline"/>
                <w:lang w:val="en-US" w:eastAsia="zh-CN"/>
              </w:rPr>
            </w:pPr>
            <w:r>
              <w:rPr>
                <w:rFonts w:hint="eastAsia"/>
                <w:b w:val="0"/>
                <w:color w:val="000000"/>
                <w:sz w:val="18"/>
                <w:szCs w:val="18"/>
                <w:highlight w:val="none"/>
                <w:lang w:val="en-US" w:eastAsia="zh-CN"/>
              </w:rPr>
              <w:t>系统</w:t>
            </w:r>
          </w:p>
        </w:tc>
        <w:tc>
          <w:tcPr>
            <w:tcW w:w="2150" w:type="dxa"/>
            <w:tcBorders>
              <w:top w:val="single" w:color="000000" w:sz="4" w:space="0"/>
              <w:left w:val="single" w:color="000000" w:sz="4" w:space="0"/>
              <w:bottom w:val="single" w:color="000000" w:sz="4" w:space="0"/>
              <w:right w:val="single" w:color="000000" w:sz="4" w:space="0"/>
            </w:tcBorders>
            <w:shd w:val="clear" w:color="auto" w:fill="FFFFFF"/>
            <w:vAlign w:val="top"/>
          </w:tcPr>
          <w:p w14:paraId="5182F508">
            <w:pPr>
              <w:pStyle w:val="57"/>
              <w:ind w:left="0" w:leftChars="0" w:firstLine="0" w:firstLineChars="0"/>
              <w:jc w:val="both"/>
              <w:rPr>
                <w:rFonts w:hint="eastAsia"/>
                <w:b w:val="0"/>
                <w:color w:val="000000"/>
                <w:sz w:val="18"/>
                <w:szCs w:val="18"/>
                <w:vertAlign w:val="baseline"/>
                <w:lang w:val="en-US" w:eastAsia="zh-CN"/>
              </w:rPr>
            </w:pPr>
            <w:r>
              <w:rPr>
                <w:rFonts w:hint="eastAsia"/>
                <w:b w:val="0"/>
                <w:color w:val="000000"/>
                <w:sz w:val="18"/>
                <w:szCs w:val="18"/>
                <w:vertAlign w:val="baseline"/>
                <w:lang w:val="en-US" w:eastAsia="zh-CN"/>
              </w:rPr>
              <w:t>针对某一项或几项特定的结构安全风险进行长期监测。</w:t>
            </w:r>
          </w:p>
        </w:tc>
        <w:tc>
          <w:tcPr>
            <w:tcW w:w="3525" w:type="dxa"/>
            <w:tcBorders>
              <w:top w:val="single" w:color="000000" w:sz="4" w:space="0"/>
              <w:left w:val="single" w:color="000000" w:sz="4" w:space="0"/>
              <w:bottom w:val="single" w:color="000000" w:sz="4" w:space="0"/>
              <w:right w:val="single" w:color="000000" w:sz="12" w:space="0"/>
            </w:tcBorders>
            <w:shd w:val="clear" w:color="auto" w:fill="FFFFFF"/>
          </w:tcPr>
          <w:p w14:paraId="779E96E4">
            <w:pPr>
              <w:pStyle w:val="57"/>
              <w:ind w:left="0" w:leftChars="0" w:firstLine="0" w:firstLineChars="0"/>
              <w:jc w:val="both"/>
              <w:rPr>
                <w:rFonts w:hint="eastAsia"/>
                <w:b w:val="0"/>
                <w:color w:val="000000"/>
                <w:sz w:val="18"/>
                <w:szCs w:val="18"/>
                <w:vertAlign w:val="baseline"/>
                <w:lang w:val="en-US" w:eastAsia="zh-CN"/>
              </w:rPr>
            </w:pPr>
            <w:r>
              <w:rPr>
                <w:rFonts w:hint="eastAsia"/>
                <w:b w:val="0"/>
                <w:color w:val="000000"/>
                <w:sz w:val="18"/>
                <w:szCs w:val="18"/>
                <w:vertAlign w:val="baseline"/>
                <w:lang w:val="en-US" w:eastAsia="zh-CN"/>
              </w:rPr>
              <w:t>主要适用于针对明确的风险致因而实施的专项监测。此外，由于新建设施结构技术状况较好，也可采用</w:t>
            </w:r>
            <w:r>
              <w:rPr>
                <w:rFonts w:hint="eastAsia"/>
                <w:b w:val="0"/>
                <w:color w:val="000000"/>
                <w:sz w:val="18"/>
                <w:szCs w:val="18"/>
                <w:highlight w:val="none"/>
                <w:lang w:val="en-US" w:eastAsia="zh-CN"/>
              </w:rPr>
              <w:t>Ⅱ类</w:t>
            </w:r>
            <w:r>
              <w:rPr>
                <w:rFonts w:hint="eastAsia"/>
                <w:b w:val="0"/>
                <w:color w:val="000000"/>
                <w:sz w:val="18"/>
                <w:szCs w:val="18"/>
                <w:vertAlign w:val="baseline"/>
                <w:lang w:val="en-US" w:eastAsia="zh-CN"/>
              </w:rPr>
              <w:t>类系统针对其主要关键指标进行专项监测，后期再视实际需要逐步扩展升级为</w:t>
            </w:r>
            <w:r>
              <w:rPr>
                <w:rFonts w:hint="eastAsia"/>
                <w:b w:val="0"/>
                <w:color w:val="000000"/>
                <w:sz w:val="18"/>
                <w:szCs w:val="18"/>
                <w:highlight w:val="none"/>
                <w:lang w:val="en-US" w:eastAsia="zh-CN"/>
              </w:rPr>
              <w:t>Ⅰ类</w:t>
            </w:r>
            <w:r>
              <w:rPr>
                <w:rFonts w:hint="eastAsia"/>
                <w:b w:val="0"/>
                <w:color w:val="000000"/>
                <w:sz w:val="18"/>
                <w:szCs w:val="18"/>
                <w:vertAlign w:val="baseline"/>
                <w:lang w:val="en-US" w:eastAsia="zh-CN"/>
              </w:rPr>
              <w:t>监测系统。</w:t>
            </w:r>
          </w:p>
        </w:tc>
      </w:tr>
      <w:tr w14:paraId="2C315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tcBorders>
              <w:top w:val="single" w:color="000000" w:sz="4" w:space="0"/>
              <w:left w:val="single" w:color="000000" w:sz="12" w:space="0"/>
              <w:bottom w:val="single" w:color="000000" w:sz="12" w:space="0"/>
              <w:right w:val="single" w:color="000000" w:sz="4" w:space="0"/>
            </w:tcBorders>
            <w:shd w:val="clear" w:color="auto" w:fill="FFFFFF"/>
          </w:tcPr>
          <w:p w14:paraId="13B31A3F">
            <w:pPr>
              <w:pStyle w:val="57"/>
              <w:ind w:left="0" w:leftChars="0" w:firstLine="0" w:firstLineChars="0"/>
              <w:jc w:val="center"/>
              <w:rPr>
                <w:rFonts w:hint="eastAsia"/>
                <w:b w:val="0"/>
                <w:color w:val="000000"/>
                <w:sz w:val="18"/>
                <w:szCs w:val="18"/>
                <w:vertAlign w:val="baseline"/>
                <w:lang w:val="en-US" w:eastAsia="zh-CN"/>
              </w:rPr>
            </w:pPr>
            <w:r>
              <w:rPr>
                <w:rFonts w:hint="eastAsia"/>
                <w:b w:val="0"/>
                <w:color w:val="000000"/>
                <w:sz w:val="18"/>
                <w:szCs w:val="18"/>
                <w:vertAlign w:val="baseline"/>
                <w:lang w:val="en-US" w:eastAsia="zh-CN"/>
              </w:rPr>
              <w:t>3</w:t>
            </w:r>
          </w:p>
        </w:tc>
        <w:tc>
          <w:tcPr>
            <w:tcW w:w="834" w:type="dxa"/>
            <w:tcBorders>
              <w:top w:val="single" w:color="000000" w:sz="4" w:space="0"/>
              <w:left w:val="single" w:color="000000" w:sz="4" w:space="0"/>
              <w:bottom w:val="single" w:color="000000" w:sz="12" w:space="0"/>
              <w:right w:val="single" w:color="000000" w:sz="4" w:space="0"/>
            </w:tcBorders>
            <w:shd w:val="clear" w:color="auto" w:fill="FFFFFF"/>
          </w:tcPr>
          <w:p w14:paraId="4D03FE39">
            <w:pPr>
              <w:pStyle w:val="57"/>
              <w:ind w:left="0" w:leftChars="0" w:firstLine="0" w:firstLineChars="0"/>
              <w:jc w:val="center"/>
              <w:rPr>
                <w:rFonts w:hint="eastAsia"/>
                <w:b w:val="0"/>
                <w:color w:val="000000"/>
                <w:sz w:val="18"/>
                <w:szCs w:val="18"/>
                <w:vertAlign w:val="baseline"/>
                <w:lang w:val="en-US" w:eastAsia="zh-CN"/>
              </w:rPr>
            </w:pPr>
            <w:r>
              <w:rPr>
                <w:rFonts w:hint="eastAsia"/>
                <w:b w:val="0"/>
                <w:color w:val="000000"/>
                <w:sz w:val="18"/>
                <w:szCs w:val="18"/>
                <w:highlight w:val="none"/>
                <w:lang w:val="en-US" w:eastAsia="zh-CN"/>
              </w:rPr>
              <w:t>Ⅲ类</w:t>
            </w:r>
          </w:p>
        </w:tc>
        <w:tc>
          <w:tcPr>
            <w:tcW w:w="2366" w:type="dxa"/>
            <w:tcBorders>
              <w:top w:val="single" w:color="000000" w:sz="4" w:space="0"/>
              <w:left w:val="single" w:color="000000" w:sz="4" w:space="0"/>
              <w:bottom w:val="single" w:color="000000" w:sz="12" w:space="0"/>
              <w:right w:val="single" w:color="000000" w:sz="4" w:space="0"/>
            </w:tcBorders>
            <w:shd w:val="clear" w:color="auto" w:fill="FFFFFF"/>
          </w:tcPr>
          <w:p w14:paraId="7F8FFB15">
            <w:pPr>
              <w:pStyle w:val="57"/>
              <w:ind w:left="0" w:leftChars="0" w:firstLine="0" w:firstLineChars="0"/>
              <w:jc w:val="center"/>
              <w:rPr>
                <w:rFonts w:hint="eastAsia"/>
                <w:b w:val="0"/>
                <w:color w:val="000000"/>
                <w:sz w:val="18"/>
                <w:szCs w:val="18"/>
                <w:highlight w:val="none"/>
                <w:lang w:val="en-US" w:eastAsia="zh-CN"/>
              </w:rPr>
            </w:pPr>
            <w:r>
              <w:rPr>
                <w:rFonts w:hint="eastAsia"/>
                <w:b w:val="0"/>
                <w:color w:val="000000"/>
                <w:sz w:val="18"/>
                <w:szCs w:val="18"/>
                <w:highlight w:val="none"/>
                <w:lang w:val="en-US" w:eastAsia="zh-CN"/>
              </w:rPr>
              <w:t>应急监测分析与预警</w:t>
            </w:r>
          </w:p>
          <w:p w14:paraId="5AEB34D8">
            <w:pPr>
              <w:pStyle w:val="57"/>
              <w:ind w:left="0" w:leftChars="0" w:firstLine="0" w:firstLineChars="0"/>
              <w:jc w:val="center"/>
              <w:rPr>
                <w:rFonts w:hint="default"/>
                <w:b w:val="0"/>
                <w:color w:val="000000"/>
                <w:sz w:val="18"/>
                <w:szCs w:val="18"/>
                <w:vertAlign w:val="baseline"/>
                <w:lang w:val="en-US" w:eastAsia="zh-CN"/>
              </w:rPr>
            </w:pPr>
            <w:r>
              <w:rPr>
                <w:rFonts w:hint="eastAsia"/>
                <w:b w:val="0"/>
                <w:color w:val="000000"/>
                <w:sz w:val="18"/>
                <w:szCs w:val="18"/>
                <w:highlight w:val="none"/>
                <w:lang w:val="en-US" w:eastAsia="zh-CN"/>
              </w:rPr>
              <w:t>系统</w:t>
            </w:r>
          </w:p>
        </w:tc>
        <w:tc>
          <w:tcPr>
            <w:tcW w:w="2150" w:type="dxa"/>
            <w:tcBorders>
              <w:top w:val="single" w:color="000000" w:sz="4" w:space="0"/>
              <w:left w:val="single" w:color="000000" w:sz="4" w:space="0"/>
              <w:bottom w:val="single" w:color="000000" w:sz="12" w:space="0"/>
              <w:right w:val="single" w:color="000000" w:sz="4" w:space="0"/>
            </w:tcBorders>
            <w:shd w:val="clear" w:color="auto" w:fill="FFFFFF"/>
          </w:tcPr>
          <w:p w14:paraId="7E44901F">
            <w:pPr>
              <w:pStyle w:val="57"/>
              <w:ind w:left="0" w:leftChars="0" w:firstLine="0" w:firstLineChars="0"/>
              <w:jc w:val="both"/>
              <w:rPr>
                <w:rFonts w:hint="eastAsia"/>
                <w:b w:val="0"/>
                <w:color w:val="000000"/>
                <w:sz w:val="18"/>
                <w:szCs w:val="18"/>
                <w:vertAlign w:val="baseline"/>
                <w:lang w:val="en-US" w:eastAsia="zh-CN"/>
              </w:rPr>
            </w:pPr>
            <w:r>
              <w:rPr>
                <w:rFonts w:hint="eastAsia"/>
                <w:b w:val="0"/>
                <w:color w:val="000000"/>
                <w:sz w:val="18"/>
                <w:szCs w:val="18"/>
                <w:vertAlign w:val="baseline"/>
                <w:lang w:val="en-US" w:eastAsia="zh-CN"/>
              </w:rPr>
              <w:t>针对特殊风险或响应应急监测任务，而进行中短期临时监测。</w:t>
            </w:r>
          </w:p>
        </w:tc>
        <w:tc>
          <w:tcPr>
            <w:tcW w:w="3525" w:type="dxa"/>
            <w:tcBorders>
              <w:top w:val="single" w:color="000000" w:sz="4" w:space="0"/>
              <w:left w:val="single" w:color="000000" w:sz="4" w:space="0"/>
              <w:bottom w:val="single" w:color="000000" w:sz="12" w:space="0"/>
              <w:right w:val="single" w:color="000000" w:sz="12" w:space="0"/>
            </w:tcBorders>
            <w:shd w:val="clear" w:color="auto" w:fill="FFFFFF"/>
          </w:tcPr>
          <w:p w14:paraId="172A7772">
            <w:pPr>
              <w:pStyle w:val="57"/>
              <w:ind w:left="0" w:leftChars="0" w:firstLine="0" w:firstLineChars="0"/>
              <w:jc w:val="both"/>
              <w:rPr>
                <w:rFonts w:hint="eastAsia"/>
                <w:b w:val="0"/>
                <w:color w:val="000000"/>
                <w:sz w:val="18"/>
                <w:szCs w:val="18"/>
                <w:vertAlign w:val="baseline"/>
                <w:lang w:val="en-US" w:eastAsia="zh-CN"/>
              </w:rPr>
            </w:pPr>
            <w:r>
              <w:rPr>
                <w:rFonts w:hint="eastAsia"/>
                <w:b w:val="0"/>
                <w:color w:val="000000"/>
                <w:sz w:val="18"/>
                <w:szCs w:val="18"/>
                <w:vertAlign w:val="baseline"/>
                <w:lang w:val="en-US" w:eastAsia="zh-CN"/>
              </w:rPr>
              <w:t>通常为临时的应急监测任务而设，如维修加固期间结构安全和施工安全的临时监测任务。应急监测任务完成后，可拆除设备另做他用，也可视实际需要改造为</w:t>
            </w:r>
            <w:r>
              <w:rPr>
                <w:rFonts w:hint="eastAsia"/>
                <w:b w:val="0"/>
                <w:color w:val="000000"/>
                <w:sz w:val="18"/>
                <w:szCs w:val="18"/>
                <w:highlight w:val="none"/>
                <w:lang w:val="en-US" w:eastAsia="zh-CN"/>
              </w:rPr>
              <w:t>Ⅱ类</w:t>
            </w:r>
            <w:r>
              <w:rPr>
                <w:rFonts w:hint="eastAsia"/>
                <w:b w:val="0"/>
                <w:color w:val="000000"/>
                <w:sz w:val="18"/>
                <w:szCs w:val="18"/>
                <w:vertAlign w:val="baseline"/>
                <w:lang w:val="en-US" w:eastAsia="zh-CN"/>
              </w:rPr>
              <w:t>或</w:t>
            </w:r>
            <w:r>
              <w:rPr>
                <w:rFonts w:hint="eastAsia"/>
                <w:b w:val="0"/>
                <w:color w:val="000000"/>
                <w:sz w:val="18"/>
                <w:szCs w:val="18"/>
                <w:highlight w:val="none"/>
                <w:lang w:val="en-US" w:eastAsia="zh-CN"/>
              </w:rPr>
              <w:t>Ⅰ类</w:t>
            </w:r>
            <w:r>
              <w:rPr>
                <w:rFonts w:hint="eastAsia"/>
                <w:b w:val="0"/>
                <w:color w:val="000000"/>
                <w:sz w:val="18"/>
                <w:szCs w:val="18"/>
                <w:vertAlign w:val="baseline"/>
                <w:lang w:val="en-US" w:eastAsia="zh-CN"/>
              </w:rPr>
              <w:t>监测系统</w:t>
            </w:r>
          </w:p>
        </w:tc>
      </w:tr>
    </w:tbl>
    <w:p w14:paraId="01C8EFB8">
      <w:pPr>
        <w:pStyle w:val="57"/>
        <w:ind w:left="0" w:leftChars="0" w:firstLine="0" w:firstLineChars="0"/>
        <w:rPr>
          <w:rFonts w:hint="eastAsia"/>
          <w:lang w:val="en-US" w:eastAsia="zh-CN"/>
        </w:rPr>
        <w:sectPr>
          <w:footerReference r:id="rId14" w:type="default"/>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pPr>
    </w:p>
    <w:p w14:paraId="1E7707EC">
      <w:pPr>
        <w:pStyle w:val="77"/>
        <w:spacing w:after="156"/>
      </w:pPr>
      <w:bookmarkStart w:id="77" w:name="_Toc24891"/>
      <w:r>
        <w:br w:type="textWrapping"/>
      </w:r>
      <w:r>
        <w:rPr>
          <w:rFonts w:hint="eastAsia"/>
        </w:rPr>
        <w:t>（规范性）</w:t>
      </w:r>
      <w:r>
        <w:br w:type="textWrapping"/>
      </w:r>
      <w:r>
        <w:rPr>
          <w:rFonts w:hint="eastAsia" w:hAnsi="宋体" w:cs="黑体"/>
          <w:color w:val="000000"/>
          <w:kern w:val="0"/>
          <w:sz w:val="21"/>
          <w:szCs w:val="21"/>
          <w:lang w:val="en-US" w:eastAsia="zh-CN" w:bidi="ar"/>
        </w:rPr>
        <w:t>船闸健康</w:t>
      </w:r>
      <w:r>
        <w:rPr>
          <w:rFonts w:hint="eastAsia"/>
          <w:lang w:val="en-US" w:eastAsia="zh-CN"/>
        </w:rPr>
        <w:t>监测与预警常见特征指标超限初始阈值</w:t>
      </w:r>
      <w:bookmarkEnd w:id="77"/>
    </w:p>
    <w:p w14:paraId="342562B3">
      <w:pPr>
        <w:pStyle w:val="57"/>
        <w:ind w:left="0" w:leftChars="0" w:firstLine="0" w:firstLineChars="0"/>
        <w:rPr>
          <w:rFonts w:hint="eastAsia"/>
          <w:lang w:val="en-US" w:eastAsia="zh-CN"/>
        </w:rPr>
      </w:pPr>
      <w:r>
        <w:rPr>
          <w:rFonts w:hint="eastAsia"/>
          <w:lang w:val="en-US" w:eastAsia="zh-CN"/>
        </w:rPr>
        <w:t>表B.1规范了船闸健康监测与预警常见特征指标的超限初始阈值。</w:t>
      </w:r>
    </w:p>
    <w:p w14:paraId="420EAF66">
      <w:pPr>
        <w:keepNext w:val="0"/>
        <w:keepLines w:val="0"/>
        <w:widowControl/>
        <w:suppressLineNumbers w:val="0"/>
        <w:jc w:val="center"/>
        <w:rPr>
          <w:rFonts w:hint="default" w:ascii="黑体" w:hAnsi="宋体" w:eastAsia="黑体" w:cs="黑体"/>
          <w:color w:val="000000"/>
          <w:kern w:val="0"/>
          <w:sz w:val="21"/>
          <w:szCs w:val="21"/>
          <w:lang w:val="en-US" w:eastAsia="zh-CN" w:bidi="ar"/>
        </w:rPr>
      </w:pPr>
      <w:r>
        <w:rPr>
          <w:rFonts w:hint="eastAsia" w:ascii="黑体" w:hAnsi="宋体" w:eastAsia="黑体" w:cs="黑体"/>
          <w:color w:val="000000"/>
          <w:kern w:val="0"/>
          <w:sz w:val="21"/>
          <w:szCs w:val="21"/>
          <w:lang w:val="en-US" w:eastAsia="zh-CN" w:bidi="ar"/>
        </w:rPr>
        <w:t>表A.1  船闸健康监测与预警常见特征指标超限初始阈值表</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2045"/>
        <w:gridCol w:w="3589"/>
        <w:gridCol w:w="1043"/>
        <w:gridCol w:w="1914"/>
      </w:tblGrid>
      <w:tr w14:paraId="7B2B9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000000" w:sz="12" w:space="0"/>
              <w:left w:val="single" w:color="000000" w:sz="12" w:space="0"/>
              <w:bottom w:val="single" w:color="000000" w:sz="4" w:space="0"/>
              <w:right w:val="single" w:color="000000" w:sz="4" w:space="0"/>
              <w:tl2br w:val="nil"/>
            </w:tcBorders>
            <w:shd w:val="clear" w:color="auto" w:fill="FFFFFF"/>
          </w:tcPr>
          <w:p w14:paraId="53F9BDD9">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序号</w:t>
            </w:r>
          </w:p>
        </w:tc>
        <w:tc>
          <w:tcPr>
            <w:tcW w:w="2045" w:type="dxa"/>
            <w:tcBorders>
              <w:top w:val="single" w:color="000000" w:sz="12" w:space="0"/>
              <w:left w:val="single" w:color="000000" w:sz="4" w:space="0"/>
              <w:bottom w:val="single" w:color="000000" w:sz="4" w:space="0"/>
              <w:right w:val="single" w:color="000000" w:sz="4" w:space="0"/>
            </w:tcBorders>
            <w:shd w:val="clear" w:color="auto" w:fill="FFFFFF"/>
          </w:tcPr>
          <w:p w14:paraId="2FAD7562">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特征指标</w:t>
            </w:r>
          </w:p>
        </w:tc>
        <w:tc>
          <w:tcPr>
            <w:tcW w:w="3589" w:type="dxa"/>
            <w:tcBorders>
              <w:top w:val="single" w:color="000000" w:sz="12" w:space="0"/>
              <w:left w:val="single" w:color="000000" w:sz="4" w:space="0"/>
              <w:bottom w:val="single" w:color="000000" w:sz="4" w:space="0"/>
              <w:right w:val="single" w:color="000000" w:sz="4" w:space="0"/>
            </w:tcBorders>
            <w:shd w:val="clear" w:color="auto" w:fill="FFFFFF"/>
          </w:tcPr>
          <w:p w14:paraId="30D2C91C">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超限初始</w:t>
            </w:r>
            <w:r>
              <w:rPr>
                <w:rFonts w:hint="eastAsia" w:ascii="宋体" w:hAnsi="宋体" w:eastAsia="宋体" w:cs="宋体"/>
                <w:b w:val="0"/>
                <w:color w:val="000000"/>
                <w:sz w:val="18"/>
                <w:szCs w:val="18"/>
                <w:vertAlign w:val="baseline"/>
                <w:lang w:val="en-US" w:eastAsia="zh-CN"/>
              </w:rPr>
              <w:t>阈值</w:t>
            </w:r>
          </w:p>
        </w:tc>
        <w:tc>
          <w:tcPr>
            <w:tcW w:w="1043" w:type="dxa"/>
            <w:tcBorders>
              <w:top w:val="single" w:color="000000" w:sz="12" w:space="0"/>
              <w:left w:val="single" w:color="000000" w:sz="4" w:space="0"/>
              <w:bottom w:val="single" w:color="000000" w:sz="4" w:space="0"/>
              <w:right w:val="single" w:color="000000" w:sz="4" w:space="0"/>
            </w:tcBorders>
            <w:shd w:val="clear" w:color="auto" w:fill="FFFFFF"/>
          </w:tcPr>
          <w:p w14:paraId="618C8C66">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超限级别</w:t>
            </w:r>
          </w:p>
        </w:tc>
        <w:tc>
          <w:tcPr>
            <w:tcW w:w="1914" w:type="dxa"/>
            <w:tcBorders>
              <w:top w:val="single" w:color="000000" w:sz="12" w:space="0"/>
              <w:left w:val="single" w:color="000000" w:sz="4" w:space="0"/>
              <w:bottom w:val="single" w:color="000000" w:sz="4" w:space="0"/>
              <w:right w:val="single" w:color="000000" w:sz="12" w:space="0"/>
            </w:tcBorders>
            <w:shd w:val="clear" w:color="auto" w:fill="FFFFFF"/>
          </w:tcPr>
          <w:p w14:paraId="0182F16E">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备注</w:t>
            </w:r>
          </w:p>
        </w:tc>
      </w:tr>
      <w:tr w14:paraId="55E4B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restart"/>
            <w:tcBorders>
              <w:top w:val="single" w:color="000000" w:sz="4" w:space="0"/>
              <w:left w:val="single" w:color="000000" w:sz="12" w:space="0"/>
              <w:bottom w:val="single" w:color="000000" w:sz="4" w:space="0"/>
              <w:right w:val="single" w:color="000000" w:sz="4" w:space="0"/>
            </w:tcBorders>
            <w:shd w:val="clear" w:color="auto" w:fill="FFFFFF"/>
            <w:vAlign w:val="center"/>
          </w:tcPr>
          <w:p w14:paraId="49BF3595">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1</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18F31E6">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位移、倾斜</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62DA03">
            <w:pPr>
              <w:keepNext w:val="0"/>
              <w:keepLines w:val="0"/>
              <w:widowControl/>
              <w:suppressLineNumbers w:val="0"/>
              <w:jc w:val="left"/>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kern w:val="0"/>
                <w:sz w:val="18"/>
                <w:szCs w:val="18"/>
                <w:lang w:val="en-US" w:eastAsia="zh-CN" w:bidi="ar"/>
              </w:rPr>
              <w:t>达到 0.8</w:t>
            </w:r>
            <w:r>
              <w:rPr>
                <w:rFonts w:hint="eastAsia" w:ascii="宋体" w:hAnsi="宋体" w:cs="宋体"/>
                <w:b w:val="0"/>
                <w:color w:val="000000"/>
                <w:kern w:val="0"/>
                <w:sz w:val="18"/>
                <w:szCs w:val="18"/>
                <w:lang w:val="en-US" w:eastAsia="zh-CN" w:bidi="ar"/>
              </w:rPr>
              <w:t>5</w:t>
            </w:r>
            <w:r>
              <w:rPr>
                <w:rFonts w:hint="eastAsia" w:ascii="宋体" w:hAnsi="宋体" w:eastAsia="宋体" w:cs="宋体"/>
                <w:b w:val="0"/>
                <w:color w:val="000000"/>
                <w:kern w:val="0"/>
                <w:sz w:val="18"/>
                <w:szCs w:val="18"/>
                <w:lang w:val="en-US" w:eastAsia="zh-CN" w:bidi="ar"/>
              </w:rPr>
              <w:t xml:space="preserve"> 倍设计值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0A1C9C">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2级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72575C78">
            <w:pPr>
              <w:pStyle w:val="57"/>
              <w:ind w:left="0" w:leftChars="0" w:firstLine="0" w:firstLineChars="0"/>
              <w:jc w:val="both"/>
              <w:rPr>
                <w:rFonts w:hint="eastAsia" w:ascii="宋体" w:hAnsi="宋体" w:eastAsia="宋体" w:cs="宋体"/>
                <w:b w:val="0"/>
                <w:color w:val="000000"/>
                <w:sz w:val="18"/>
                <w:szCs w:val="18"/>
                <w:vertAlign w:val="baseline"/>
              </w:rPr>
            </w:pPr>
          </w:p>
        </w:tc>
      </w:tr>
      <w:tr w14:paraId="6AD32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continue"/>
            <w:tcBorders>
              <w:top w:val="single" w:color="000000" w:sz="4" w:space="0"/>
              <w:left w:val="single" w:color="000000" w:sz="12" w:space="0"/>
              <w:bottom w:val="single" w:color="000000" w:sz="4" w:space="0"/>
              <w:right w:val="single" w:color="000000" w:sz="4" w:space="0"/>
            </w:tcBorders>
            <w:shd w:val="clear" w:color="auto" w:fill="FFFFFF"/>
            <w:vAlign w:val="center"/>
          </w:tcPr>
          <w:p w14:paraId="2361B292">
            <w:pPr>
              <w:pStyle w:val="57"/>
              <w:ind w:left="0" w:leftChars="0" w:firstLine="0" w:firstLineChars="0"/>
              <w:jc w:val="both"/>
              <w:rPr>
                <w:rFonts w:hint="eastAsia" w:ascii="宋体" w:hAnsi="宋体" w:eastAsia="宋体" w:cs="宋体"/>
                <w:b w:val="0"/>
                <w:color w:val="000000"/>
                <w:sz w:val="18"/>
                <w:szCs w:val="18"/>
                <w:vertAlign w:val="baseline"/>
                <w:lang w:val="en-US" w:eastAsia="zh-CN"/>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E9F60A5">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2FA306">
            <w:pPr>
              <w:keepNext w:val="0"/>
              <w:keepLines w:val="0"/>
              <w:widowControl/>
              <w:suppressLineNumbers w:val="0"/>
              <w:jc w:val="left"/>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kern w:val="0"/>
                <w:sz w:val="18"/>
                <w:szCs w:val="18"/>
                <w:lang w:val="en-US" w:eastAsia="zh-CN" w:bidi="ar"/>
              </w:rPr>
              <w:t>达到设计值或一个月内出现10次以上2级超限</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E6FEE6">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3级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7B072AFA">
            <w:pPr>
              <w:pStyle w:val="57"/>
              <w:ind w:left="0" w:leftChars="0" w:firstLine="0" w:firstLineChars="0"/>
              <w:jc w:val="both"/>
              <w:rPr>
                <w:rFonts w:hint="eastAsia" w:ascii="宋体" w:hAnsi="宋体" w:eastAsia="宋体" w:cs="宋体"/>
                <w:b w:val="0"/>
                <w:color w:val="000000"/>
                <w:sz w:val="18"/>
                <w:szCs w:val="18"/>
                <w:vertAlign w:val="baseline"/>
              </w:rPr>
            </w:pPr>
          </w:p>
        </w:tc>
      </w:tr>
      <w:tr w14:paraId="32C74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restart"/>
            <w:tcBorders>
              <w:top w:val="single" w:color="000000" w:sz="4" w:space="0"/>
              <w:left w:val="single" w:color="000000" w:sz="12" w:space="0"/>
              <w:bottom w:val="single" w:color="000000" w:sz="4" w:space="0"/>
              <w:right w:val="single" w:color="000000" w:sz="4" w:space="0"/>
            </w:tcBorders>
            <w:shd w:val="clear" w:color="auto" w:fill="FFFFFF"/>
            <w:vAlign w:val="center"/>
          </w:tcPr>
          <w:p w14:paraId="272E0BB3">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2</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718B241">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应力</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5DEECA">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达到 0.8</w:t>
            </w:r>
            <w:r>
              <w:rPr>
                <w:rFonts w:hint="eastAsia" w:ascii="宋体" w:hAnsi="宋体" w:cs="宋体"/>
                <w:b w:val="0"/>
                <w:color w:val="000000"/>
                <w:kern w:val="0"/>
                <w:sz w:val="18"/>
                <w:szCs w:val="18"/>
                <w:lang w:val="en-US" w:eastAsia="zh-CN" w:bidi="ar"/>
              </w:rPr>
              <w:t>5</w:t>
            </w:r>
            <w:r>
              <w:rPr>
                <w:rFonts w:hint="eastAsia" w:ascii="宋体" w:hAnsi="宋体" w:eastAsia="宋体" w:cs="宋体"/>
                <w:b w:val="0"/>
                <w:color w:val="000000"/>
                <w:kern w:val="0"/>
                <w:sz w:val="18"/>
                <w:szCs w:val="18"/>
                <w:lang w:val="en-US" w:eastAsia="zh-CN" w:bidi="ar"/>
              </w:rPr>
              <w:t xml:space="preserve"> 倍设计值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E96431">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2</w:t>
            </w:r>
            <w:r>
              <w:rPr>
                <w:rFonts w:hint="eastAsia" w:ascii="宋体" w:hAnsi="宋体" w:eastAsia="宋体" w:cs="宋体"/>
                <w:b w:val="0"/>
                <w:color w:val="000000"/>
                <w:sz w:val="18"/>
                <w:szCs w:val="18"/>
                <w:vertAlign w:val="baseline"/>
                <w:lang w:val="en-US" w:eastAsia="zh-CN"/>
              </w:rPr>
              <w:t>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24652E91">
            <w:pPr>
              <w:pStyle w:val="57"/>
              <w:ind w:left="0" w:leftChars="0" w:firstLine="0" w:firstLineChars="0"/>
              <w:jc w:val="both"/>
              <w:rPr>
                <w:rFonts w:hint="eastAsia" w:ascii="宋体" w:hAnsi="宋体" w:eastAsia="宋体" w:cs="宋体"/>
                <w:b w:val="0"/>
                <w:color w:val="000000"/>
                <w:sz w:val="18"/>
                <w:szCs w:val="18"/>
                <w:vertAlign w:val="baseline"/>
              </w:rPr>
            </w:pPr>
          </w:p>
        </w:tc>
      </w:tr>
      <w:tr w14:paraId="31939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continue"/>
            <w:tcBorders>
              <w:top w:val="single" w:color="000000" w:sz="4" w:space="0"/>
              <w:left w:val="single" w:color="000000" w:sz="12" w:space="0"/>
              <w:bottom w:val="single" w:color="000000" w:sz="4" w:space="0"/>
              <w:right w:val="single" w:color="000000" w:sz="4" w:space="0"/>
            </w:tcBorders>
            <w:shd w:val="clear" w:color="auto" w:fill="FFFFFF"/>
            <w:vAlign w:val="center"/>
          </w:tcPr>
          <w:p w14:paraId="46E0811A">
            <w:pPr>
              <w:pStyle w:val="57"/>
              <w:ind w:left="0" w:leftChars="0" w:firstLine="0" w:firstLineChars="0"/>
              <w:jc w:val="both"/>
              <w:rPr>
                <w:rFonts w:hint="eastAsia" w:ascii="宋体" w:hAnsi="宋体" w:eastAsia="宋体" w:cs="宋体"/>
                <w:b w:val="0"/>
                <w:color w:val="000000"/>
                <w:sz w:val="18"/>
                <w:szCs w:val="18"/>
                <w:vertAlign w:val="baseline"/>
                <w:lang w:val="en-US" w:eastAsia="zh-CN"/>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27902E7">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39A0E7">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达到设计值或一个月内出现10次以上2级超限</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A9D1A0">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3</w:t>
            </w:r>
            <w:r>
              <w:rPr>
                <w:rFonts w:hint="eastAsia" w:ascii="宋体" w:hAnsi="宋体" w:eastAsia="宋体" w:cs="宋体"/>
                <w:b w:val="0"/>
                <w:color w:val="000000"/>
                <w:sz w:val="18"/>
                <w:szCs w:val="18"/>
                <w:vertAlign w:val="baseline"/>
                <w:lang w:val="en-US" w:eastAsia="zh-CN"/>
              </w:rPr>
              <w:t>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66160C62">
            <w:pPr>
              <w:pStyle w:val="57"/>
              <w:ind w:left="0" w:leftChars="0" w:firstLine="0" w:firstLineChars="0"/>
              <w:jc w:val="both"/>
              <w:rPr>
                <w:rFonts w:hint="eastAsia" w:ascii="宋体" w:hAnsi="宋体" w:eastAsia="宋体" w:cs="宋体"/>
                <w:b w:val="0"/>
                <w:color w:val="000000"/>
                <w:sz w:val="18"/>
                <w:szCs w:val="18"/>
                <w:vertAlign w:val="baseline"/>
              </w:rPr>
            </w:pPr>
          </w:p>
        </w:tc>
      </w:tr>
      <w:tr w14:paraId="3906E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restart"/>
            <w:tcBorders>
              <w:top w:val="single" w:color="000000" w:sz="4" w:space="0"/>
              <w:left w:val="single" w:color="000000" w:sz="12" w:space="0"/>
              <w:bottom w:val="single" w:color="000000" w:sz="4" w:space="0"/>
              <w:right w:val="single" w:color="000000" w:sz="4" w:space="0"/>
            </w:tcBorders>
            <w:shd w:val="clear" w:color="auto" w:fill="FFFFFF"/>
            <w:vAlign w:val="center"/>
          </w:tcPr>
          <w:p w14:paraId="20447B0E">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3</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6E4A718">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裂缝</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234EAA">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出现结构性裂缝</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31A577">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2</w:t>
            </w:r>
            <w:r>
              <w:rPr>
                <w:rFonts w:hint="eastAsia" w:ascii="宋体" w:hAnsi="宋体" w:eastAsia="宋体" w:cs="宋体"/>
                <w:b w:val="0"/>
                <w:color w:val="000000"/>
                <w:sz w:val="18"/>
                <w:szCs w:val="18"/>
                <w:vertAlign w:val="baseline"/>
                <w:lang w:val="en-US" w:eastAsia="zh-CN"/>
              </w:rPr>
              <w:t>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6810A8DF">
            <w:pPr>
              <w:pStyle w:val="57"/>
              <w:ind w:left="0" w:leftChars="0" w:firstLine="0" w:firstLineChars="0"/>
              <w:jc w:val="both"/>
              <w:rPr>
                <w:rFonts w:hint="eastAsia" w:ascii="宋体" w:hAnsi="宋体" w:eastAsia="宋体" w:cs="宋体"/>
                <w:b w:val="0"/>
                <w:color w:val="000000"/>
                <w:sz w:val="18"/>
                <w:szCs w:val="18"/>
                <w:vertAlign w:val="baseline"/>
              </w:rPr>
            </w:pPr>
          </w:p>
        </w:tc>
      </w:tr>
      <w:tr w14:paraId="38028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continue"/>
            <w:tcBorders>
              <w:top w:val="single" w:color="000000" w:sz="4" w:space="0"/>
              <w:left w:val="single" w:color="000000" w:sz="12" w:space="0"/>
              <w:bottom w:val="single" w:color="000000" w:sz="4" w:space="0"/>
              <w:right w:val="single" w:color="000000" w:sz="4" w:space="0"/>
            </w:tcBorders>
            <w:shd w:val="clear" w:color="auto" w:fill="FFFFFF"/>
            <w:vAlign w:val="center"/>
          </w:tcPr>
          <w:p w14:paraId="36C209B5">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343A665">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BF5BE0">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结构性裂缝超过规范限值或发展加速</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C80D76">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3</w:t>
            </w:r>
            <w:r>
              <w:rPr>
                <w:rFonts w:hint="eastAsia" w:ascii="宋体" w:hAnsi="宋体" w:eastAsia="宋体" w:cs="宋体"/>
                <w:b w:val="0"/>
                <w:color w:val="000000"/>
                <w:sz w:val="18"/>
                <w:szCs w:val="18"/>
                <w:vertAlign w:val="baseline"/>
                <w:lang w:val="en-US" w:eastAsia="zh-CN"/>
              </w:rPr>
              <w:t>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1F16B3B2">
            <w:pPr>
              <w:pStyle w:val="57"/>
              <w:ind w:left="0" w:leftChars="0" w:firstLine="0" w:firstLineChars="0"/>
              <w:jc w:val="both"/>
              <w:rPr>
                <w:rFonts w:hint="eastAsia" w:ascii="宋体" w:hAnsi="宋体" w:eastAsia="宋体" w:cs="宋体"/>
                <w:b w:val="0"/>
                <w:color w:val="000000"/>
                <w:sz w:val="18"/>
                <w:szCs w:val="18"/>
                <w:vertAlign w:val="baseline"/>
              </w:rPr>
            </w:pPr>
          </w:p>
        </w:tc>
      </w:tr>
      <w:tr w14:paraId="5D291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restart"/>
            <w:tcBorders>
              <w:top w:val="single" w:color="000000" w:sz="4" w:space="0"/>
              <w:left w:val="single" w:color="000000" w:sz="12" w:space="0"/>
              <w:right w:val="single" w:color="000000" w:sz="4" w:space="0"/>
            </w:tcBorders>
            <w:shd w:val="clear" w:color="auto" w:fill="FFFFFF"/>
            <w:vAlign w:val="center"/>
          </w:tcPr>
          <w:p w14:paraId="509E5363">
            <w:pPr>
              <w:pStyle w:val="57"/>
              <w:ind w:left="0" w:leftChars="0" w:firstLine="0" w:firstLineChars="0"/>
              <w:jc w:val="center"/>
              <w:rPr>
                <w:rFonts w:hint="default"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4</w:t>
            </w:r>
          </w:p>
        </w:tc>
        <w:tc>
          <w:tcPr>
            <w:tcW w:w="2045" w:type="dxa"/>
            <w:vMerge w:val="restart"/>
            <w:tcBorders>
              <w:top w:val="single" w:color="000000" w:sz="4" w:space="0"/>
              <w:left w:val="single" w:color="000000" w:sz="4" w:space="0"/>
              <w:right w:val="single" w:color="000000" w:sz="4" w:space="0"/>
            </w:tcBorders>
            <w:shd w:val="clear" w:color="auto" w:fill="FFFFFF"/>
            <w:vAlign w:val="center"/>
          </w:tcPr>
          <w:p w14:paraId="38E31684">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cs="宋体"/>
                <w:color w:val="000000"/>
                <w:kern w:val="0"/>
                <w:sz w:val="18"/>
                <w:szCs w:val="18"/>
                <w:lang w:bidi="ar"/>
              </w:rPr>
              <w:t>墙后土压力</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6C1011">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达到 0.8</w:t>
            </w:r>
            <w:r>
              <w:rPr>
                <w:rFonts w:hint="eastAsia" w:ascii="宋体" w:hAnsi="宋体" w:cs="宋体"/>
                <w:b w:val="0"/>
                <w:color w:val="000000"/>
                <w:kern w:val="0"/>
                <w:sz w:val="18"/>
                <w:szCs w:val="18"/>
                <w:lang w:val="en-US" w:eastAsia="zh-CN" w:bidi="ar"/>
              </w:rPr>
              <w:t>5</w:t>
            </w:r>
            <w:r>
              <w:rPr>
                <w:rFonts w:hint="eastAsia" w:ascii="宋体" w:hAnsi="宋体" w:eastAsia="宋体" w:cs="宋体"/>
                <w:b w:val="0"/>
                <w:color w:val="000000"/>
                <w:kern w:val="0"/>
                <w:sz w:val="18"/>
                <w:szCs w:val="18"/>
                <w:lang w:val="en-US" w:eastAsia="zh-CN" w:bidi="ar"/>
              </w:rPr>
              <w:t xml:space="preserve"> 倍设计值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F6CF11">
            <w:pPr>
              <w:pStyle w:val="57"/>
              <w:ind w:left="0" w:leftChars="0" w:firstLine="0" w:firstLineChars="0"/>
              <w:jc w:val="center"/>
              <w:rPr>
                <w:rFonts w:hint="default"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1级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66C1DF9D">
            <w:pPr>
              <w:pStyle w:val="57"/>
              <w:ind w:left="0" w:leftChars="0" w:firstLine="0" w:firstLineChars="0"/>
              <w:jc w:val="both"/>
              <w:rPr>
                <w:rFonts w:hint="eastAsia" w:ascii="宋体" w:hAnsi="宋体" w:eastAsia="宋体" w:cs="宋体"/>
                <w:b w:val="0"/>
                <w:color w:val="000000"/>
                <w:sz w:val="18"/>
                <w:szCs w:val="18"/>
                <w:vertAlign w:val="baseline"/>
              </w:rPr>
            </w:pPr>
          </w:p>
        </w:tc>
      </w:tr>
      <w:tr w14:paraId="47FBA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continue"/>
            <w:tcBorders>
              <w:left w:val="single" w:color="000000" w:sz="12" w:space="0"/>
              <w:right w:val="single" w:color="000000" w:sz="4" w:space="0"/>
            </w:tcBorders>
            <w:shd w:val="clear" w:color="auto" w:fill="FFFFFF"/>
            <w:vAlign w:val="center"/>
          </w:tcPr>
          <w:p w14:paraId="745C9EC0">
            <w:pPr>
              <w:pStyle w:val="57"/>
              <w:ind w:left="0" w:leftChars="0" w:firstLine="0" w:firstLineChars="0"/>
              <w:jc w:val="center"/>
              <w:rPr>
                <w:rFonts w:hint="eastAsia" w:hAnsi="宋体" w:cs="宋体"/>
                <w:b w:val="0"/>
                <w:color w:val="000000"/>
                <w:sz w:val="18"/>
                <w:szCs w:val="18"/>
                <w:vertAlign w:val="baseline"/>
                <w:lang w:val="en-US" w:eastAsia="zh-CN"/>
              </w:rPr>
            </w:pPr>
          </w:p>
        </w:tc>
        <w:tc>
          <w:tcPr>
            <w:tcW w:w="2045" w:type="dxa"/>
            <w:vMerge w:val="continue"/>
            <w:tcBorders>
              <w:left w:val="single" w:color="000000" w:sz="4" w:space="0"/>
              <w:right w:val="single" w:color="000000" w:sz="4" w:space="0"/>
            </w:tcBorders>
            <w:shd w:val="clear" w:color="auto" w:fill="FFFFFF"/>
            <w:vAlign w:val="center"/>
          </w:tcPr>
          <w:p w14:paraId="4D872C66">
            <w:pPr>
              <w:keepNext w:val="0"/>
              <w:keepLines w:val="0"/>
              <w:widowControl/>
              <w:suppressLineNumbers w:val="0"/>
              <w:jc w:val="left"/>
              <w:rPr>
                <w:rFonts w:hint="eastAsia" w:ascii="宋体" w:hAnsi="宋体" w:cs="宋体"/>
                <w:color w:val="000000"/>
                <w:kern w:val="0"/>
                <w:sz w:val="18"/>
                <w:szCs w:val="18"/>
                <w:lang w:bidi="ar"/>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AF1484">
            <w:pPr>
              <w:keepNext w:val="0"/>
              <w:keepLines w:val="0"/>
              <w:widowControl/>
              <w:suppressLineNumbers w:val="0"/>
              <w:jc w:val="left"/>
              <w:rPr>
                <w:rFonts w:hint="default" w:ascii="宋体" w:hAnsi="宋体" w:eastAsia="宋体" w:cs="宋体"/>
                <w:b w:val="0"/>
                <w:color w:val="000000"/>
                <w:kern w:val="0"/>
                <w:sz w:val="18"/>
                <w:szCs w:val="18"/>
                <w:lang w:val="en-US" w:eastAsia="zh-CN" w:bidi="ar"/>
              </w:rPr>
            </w:pPr>
            <w:r>
              <w:rPr>
                <w:rFonts w:hint="eastAsia" w:ascii="宋体" w:hAnsi="宋体" w:cs="宋体"/>
                <w:b w:val="0"/>
                <w:color w:val="000000"/>
                <w:kern w:val="0"/>
                <w:sz w:val="18"/>
                <w:szCs w:val="18"/>
                <w:lang w:val="en-US" w:eastAsia="zh-CN" w:bidi="ar"/>
              </w:rPr>
              <w:t>达到设计值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3A9BA0">
            <w:pPr>
              <w:pStyle w:val="57"/>
              <w:ind w:left="0" w:leftChars="0" w:firstLine="0" w:firstLineChars="0"/>
              <w:jc w:val="center"/>
              <w:rPr>
                <w:rFonts w:hint="default"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2级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47A22C38">
            <w:pPr>
              <w:pStyle w:val="57"/>
              <w:ind w:left="0" w:leftChars="0" w:firstLine="0" w:firstLineChars="0"/>
              <w:jc w:val="both"/>
              <w:rPr>
                <w:rFonts w:hint="eastAsia" w:ascii="宋体" w:hAnsi="宋体" w:eastAsia="宋体" w:cs="宋体"/>
                <w:b w:val="0"/>
                <w:color w:val="000000"/>
                <w:sz w:val="18"/>
                <w:szCs w:val="18"/>
                <w:vertAlign w:val="baseline"/>
              </w:rPr>
            </w:pPr>
          </w:p>
        </w:tc>
      </w:tr>
      <w:tr w14:paraId="0EB8C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restart"/>
            <w:tcBorders>
              <w:left w:val="single" w:color="000000" w:sz="12" w:space="0"/>
              <w:right w:val="single" w:color="000000" w:sz="4" w:space="0"/>
            </w:tcBorders>
            <w:shd w:val="clear" w:color="auto" w:fill="FFFFFF"/>
            <w:vAlign w:val="center"/>
          </w:tcPr>
          <w:p w14:paraId="3D63721E">
            <w:pPr>
              <w:pStyle w:val="57"/>
              <w:ind w:left="0" w:leftChars="0" w:firstLine="0" w:firstLineChars="0"/>
              <w:jc w:val="center"/>
              <w:rPr>
                <w:rFonts w:hint="default" w:hAnsi="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5</w:t>
            </w:r>
          </w:p>
        </w:tc>
        <w:tc>
          <w:tcPr>
            <w:tcW w:w="2045" w:type="dxa"/>
            <w:vMerge w:val="restart"/>
            <w:tcBorders>
              <w:left w:val="single" w:color="000000" w:sz="4" w:space="0"/>
              <w:right w:val="single" w:color="000000" w:sz="4" w:space="0"/>
            </w:tcBorders>
            <w:shd w:val="clear" w:color="auto" w:fill="FFFFFF"/>
            <w:vAlign w:val="center"/>
          </w:tcPr>
          <w:p w14:paraId="1C44AA10">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水压力</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F0EC0F">
            <w:pPr>
              <w:keepNext w:val="0"/>
              <w:keepLines w:val="0"/>
              <w:widowControl/>
              <w:suppressLineNumbers w:val="0"/>
              <w:jc w:val="left"/>
              <w:rPr>
                <w:rFonts w:hint="eastAsia" w:ascii="宋体" w:hAnsi="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达到 0.8</w:t>
            </w:r>
            <w:r>
              <w:rPr>
                <w:rFonts w:hint="eastAsia" w:ascii="宋体" w:hAnsi="宋体" w:cs="宋体"/>
                <w:b w:val="0"/>
                <w:color w:val="000000"/>
                <w:kern w:val="0"/>
                <w:sz w:val="18"/>
                <w:szCs w:val="18"/>
                <w:lang w:val="en-US" w:eastAsia="zh-CN" w:bidi="ar"/>
              </w:rPr>
              <w:t>5</w:t>
            </w:r>
            <w:r>
              <w:rPr>
                <w:rFonts w:hint="eastAsia" w:ascii="宋体" w:hAnsi="宋体" w:eastAsia="宋体" w:cs="宋体"/>
                <w:b w:val="0"/>
                <w:color w:val="000000"/>
                <w:kern w:val="0"/>
                <w:sz w:val="18"/>
                <w:szCs w:val="18"/>
                <w:lang w:val="en-US" w:eastAsia="zh-CN" w:bidi="ar"/>
              </w:rPr>
              <w:t xml:space="preserve"> 倍设计值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105E4F">
            <w:pPr>
              <w:pStyle w:val="57"/>
              <w:ind w:left="0" w:leftChars="0" w:firstLine="0" w:firstLineChars="0"/>
              <w:jc w:val="center"/>
              <w:rPr>
                <w:rFonts w:hint="eastAsia" w:hAnsi="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1级</w:t>
            </w:r>
          </w:p>
        </w:tc>
        <w:tc>
          <w:tcPr>
            <w:tcW w:w="1914" w:type="dxa"/>
            <w:vMerge w:val="restart"/>
            <w:tcBorders>
              <w:top w:val="single" w:color="000000" w:sz="4" w:space="0"/>
              <w:left w:val="single" w:color="000000" w:sz="4" w:space="0"/>
              <w:right w:val="single" w:color="000000" w:sz="12" w:space="0"/>
            </w:tcBorders>
            <w:shd w:val="clear" w:color="auto" w:fill="FFFFFF"/>
            <w:vAlign w:val="center"/>
          </w:tcPr>
          <w:p w14:paraId="4A2F8ABF">
            <w:pPr>
              <w:pStyle w:val="57"/>
              <w:ind w:left="0" w:leftChars="0" w:firstLine="0" w:firstLineChars="0"/>
              <w:jc w:val="both"/>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闸室</w:t>
            </w:r>
          </w:p>
        </w:tc>
      </w:tr>
      <w:tr w14:paraId="63644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continue"/>
            <w:tcBorders>
              <w:left w:val="single" w:color="000000" w:sz="12" w:space="0"/>
              <w:right w:val="single" w:color="000000" w:sz="4" w:space="0"/>
            </w:tcBorders>
            <w:shd w:val="clear" w:color="auto" w:fill="FFFFFF"/>
            <w:vAlign w:val="center"/>
          </w:tcPr>
          <w:p w14:paraId="54FBA90E">
            <w:pPr>
              <w:pStyle w:val="57"/>
              <w:ind w:left="0" w:leftChars="0" w:firstLine="0" w:firstLineChars="0"/>
              <w:jc w:val="center"/>
              <w:rPr>
                <w:rFonts w:hint="eastAsia" w:hAnsi="宋体" w:cs="宋体"/>
                <w:b w:val="0"/>
                <w:color w:val="000000"/>
                <w:sz w:val="18"/>
                <w:szCs w:val="18"/>
                <w:vertAlign w:val="baseline"/>
                <w:lang w:val="en-US" w:eastAsia="zh-CN"/>
              </w:rPr>
            </w:pPr>
          </w:p>
        </w:tc>
        <w:tc>
          <w:tcPr>
            <w:tcW w:w="2045" w:type="dxa"/>
            <w:vMerge w:val="continue"/>
            <w:tcBorders>
              <w:left w:val="single" w:color="000000" w:sz="4" w:space="0"/>
              <w:right w:val="single" w:color="000000" w:sz="4" w:space="0"/>
            </w:tcBorders>
            <w:shd w:val="clear" w:color="auto" w:fill="FFFFFF"/>
            <w:vAlign w:val="center"/>
          </w:tcPr>
          <w:p w14:paraId="14853DAE">
            <w:pPr>
              <w:keepNext w:val="0"/>
              <w:keepLines w:val="0"/>
              <w:widowControl/>
              <w:suppressLineNumbers w:val="0"/>
              <w:jc w:val="left"/>
              <w:rPr>
                <w:rFonts w:hint="eastAsia" w:ascii="宋体" w:hAnsi="宋体" w:cs="宋体"/>
                <w:color w:val="000000"/>
                <w:kern w:val="0"/>
                <w:sz w:val="18"/>
                <w:szCs w:val="18"/>
                <w:lang w:bidi="ar"/>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82DD23">
            <w:pPr>
              <w:keepNext w:val="0"/>
              <w:keepLines w:val="0"/>
              <w:widowControl/>
              <w:suppressLineNumbers w:val="0"/>
              <w:jc w:val="left"/>
              <w:rPr>
                <w:rFonts w:hint="eastAsia" w:ascii="宋体" w:hAnsi="宋体" w:cs="宋体"/>
                <w:b w:val="0"/>
                <w:color w:val="000000"/>
                <w:kern w:val="0"/>
                <w:sz w:val="18"/>
                <w:szCs w:val="18"/>
                <w:lang w:val="en-US" w:eastAsia="zh-CN" w:bidi="ar"/>
              </w:rPr>
            </w:pPr>
            <w:r>
              <w:rPr>
                <w:rFonts w:hint="eastAsia" w:ascii="宋体" w:hAnsi="宋体" w:cs="宋体"/>
                <w:b w:val="0"/>
                <w:color w:val="000000"/>
                <w:kern w:val="0"/>
                <w:sz w:val="18"/>
                <w:szCs w:val="18"/>
                <w:lang w:val="en-US" w:eastAsia="zh-CN" w:bidi="ar"/>
              </w:rPr>
              <w:t>达到设计值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AB8082">
            <w:pPr>
              <w:pStyle w:val="57"/>
              <w:ind w:left="0" w:leftChars="0" w:firstLine="0" w:firstLineChars="0"/>
              <w:jc w:val="center"/>
              <w:rPr>
                <w:rFonts w:hint="eastAsia" w:hAnsi="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2级</w:t>
            </w:r>
          </w:p>
        </w:tc>
        <w:tc>
          <w:tcPr>
            <w:tcW w:w="1914" w:type="dxa"/>
            <w:vMerge w:val="continue"/>
            <w:tcBorders>
              <w:left w:val="single" w:color="000000" w:sz="4" w:space="0"/>
              <w:bottom w:val="single" w:color="000000" w:sz="4" w:space="0"/>
              <w:right w:val="single" w:color="000000" w:sz="12" w:space="0"/>
            </w:tcBorders>
            <w:shd w:val="clear" w:color="auto" w:fill="FFFFFF"/>
            <w:vAlign w:val="center"/>
          </w:tcPr>
          <w:p w14:paraId="77BA9A04">
            <w:pPr>
              <w:pStyle w:val="57"/>
              <w:ind w:left="0" w:leftChars="0" w:firstLine="0" w:firstLineChars="0"/>
              <w:jc w:val="both"/>
              <w:rPr>
                <w:rFonts w:hint="eastAsia" w:ascii="宋体" w:hAnsi="宋体" w:eastAsia="宋体" w:cs="宋体"/>
                <w:b w:val="0"/>
                <w:color w:val="000000"/>
                <w:sz w:val="18"/>
                <w:szCs w:val="18"/>
                <w:vertAlign w:val="baseline"/>
              </w:rPr>
            </w:pPr>
          </w:p>
        </w:tc>
      </w:tr>
      <w:tr w14:paraId="7CAB4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restart"/>
            <w:tcBorders>
              <w:left w:val="single" w:color="000000" w:sz="12" w:space="0"/>
              <w:right w:val="single" w:color="000000" w:sz="4" w:space="0"/>
            </w:tcBorders>
            <w:shd w:val="clear" w:color="auto" w:fill="FFFFFF"/>
            <w:vAlign w:val="center"/>
          </w:tcPr>
          <w:p w14:paraId="5B65816B">
            <w:pPr>
              <w:pStyle w:val="57"/>
              <w:ind w:left="0" w:leftChars="0" w:firstLine="0" w:firstLineChars="0"/>
              <w:jc w:val="center"/>
              <w:rPr>
                <w:rFonts w:hint="default" w:hAnsi="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6</w:t>
            </w:r>
          </w:p>
        </w:tc>
        <w:tc>
          <w:tcPr>
            <w:tcW w:w="2045" w:type="dxa"/>
            <w:vMerge w:val="restart"/>
            <w:tcBorders>
              <w:left w:val="single" w:color="000000" w:sz="4" w:space="0"/>
              <w:right w:val="single" w:color="000000" w:sz="4" w:space="0"/>
            </w:tcBorders>
            <w:shd w:val="clear" w:color="auto" w:fill="FFFFFF"/>
            <w:vAlign w:val="center"/>
          </w:tcPr>
          <w:p w14:paraId="09B91A8C">
            <w:pPr>
              <w:keepNext w:val="0"/>
              <w:keepLines w:val="0"/>
              <w:widowControl/>
              <w:suppressLineNumbers w:val="0"/>
              <w:jc w:val="left"/>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水位、水深、水流速度</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D1E012">
            <w:pPr>
              <w:pStyle w:val="57"/>
              <w:ind w:left="0" w:leftChars="0" w:firstLine="0" w:firstLineChars="0"/>
              <w:jc w:val="both"/>
              <w:rPr>
                <w:rFonts w:hint="eastAsia" w:ascii="宋体" w:hAnsi="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达到 0.8</w:t>
            </w:r>
            <w:r>
              <w:rPr>
                <w:rFonts w:hint="eastAsia" w:ascii="宋体" w:hAnsi="宋体" w:cs="宋体"/>
                <w:b w:val="0"/>
                <w:color w:val="000000"/>
                <w:kern w:val="0"/>
                <w:sz w:val="18"/>
                <w:szCs w:val="18"/>
                <w:lang w:val="en-US" w:eastAsia="zh-CN" w:bidi="ar"/>
              </w:rPr>
              <w:t>5</w:t>
            </w:r>
            <w:r>
              <w:rPr>
                <w:rFonts w:hint="eastAsia" w:ascii="宋体" w:hAnsi="宋体" w:eastAsia="宋体" w:cs="宋体"/>
                <w:b w:val="0"/>
                <w:color w:val="000000"/>
                <w:kern w:val="0"/>
                <w:sz w:val="18"/>
                <w:szCs w:val="18"/>
                <w:lang w:val="en-US" w:eastAsia="zh-CN" w:bidi="ar"/>
              </w:rPr>
              <w:t xml:space="preserve"> 倍</w:t>
            </w:r>
            <w:r>
              <w:rPr>
                <w:rFonts w:hint="eastAsia" w:hAnsi="宋体" w:cs="宋体"/>
                <w:b w:val="0"/>
                <w:color w:val="000000"/>
                <w:kern w:val="0"/>
                <w:sz w:val="18"/>
                <w:szCs w:val="18"/>
                <w:lang w:val="en-US" w:eastAsia="zh-CN" w:bidi="ar"/>
              </w:rPr>
              <w:t>警戒</w:t>
            </w:r>
            <w:r>
              <w:rPr>
                <w:rFonts w:hint="eastAsia" w:ascii="宋体" w:hAnsi="宋体" w:eastAsia="宋体" w:cs="宋体"/>
                <w:b w:val="0"/>
                <w:color w:val="000000"/>
                <w:kern w:val="0"/>
                <w:sz w:val="18"/>
                <w:szCs w:val="18"/>
                <w:lang w:val="en-US" w:eastAsia="zh-CN" w:bidi="ar"/>
              </w:rPr>
              <w:t>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08F8BF">
            <w:pPr>
              <w:pStyle w:val="57"/>
              <w:ind w:left="0" w:leftChars="0" w:firstLine="0" w:firstLineChars="0"/>
              <w:jc w:val="center"/>
              <w:rPr>
                <w:rFonts w:hint="eastAsia" w:hAnsi="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1级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19493EC5">
            <w:pPr>
              <w:pStyle w:val="57"/>
              <w:ind w:left="0" w:leftChars="0" w:firstLine="0" w:firstLineChars="0"/>
              <w:jc w:val="both"/>
              <w:rPr>
                <w:rFonts w:hint="eastAsia" w:ascii="宋体" w:hAnsi="宋体" w:eastAsia="宋体" w:cs="宋体"/>
                <w:b w:val="0"/>
                <w:color w:val="000000"/>
                <w:sz w:val="18"/>
                <w:szCs w:val="18"/>
                <w:vertAlign w:val="baseline"/>
              </w:rPr>
            </w:pPr>
          </w:p>
        </w:tc>
      </w:tr>
      <w:tr w14:paraId="097F2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continue"/>
            <w:tcBorders>
              <w:left w:val="single" w:color="000000" w:sz="12" w:space="0"/>
              <w:right w:val="single" w:color="000000" w:sz="4" w:space="0"/>
            </w:tcBorders>
            <w:shd w:val="clear" w:color="auto" w:fill="FFFFFF"/>
            <w:vAlign w:val="center"/>
          </w:tcPr>
          <w:p w14:paraId="616A4A74">
            <w:pPr>
              <w:pStyle w:val="57"/>
              <w:ind w:left="0" w:leftChars="0" w:firstLine="0" w:firstLineChars="0"/>
              <w:jc w:val="center"/>
              <w:rPr>
                <w:rFonts w:hint="default" w:hAnsi="宋体" w:cs="宋体"/>
                <w:b w:val="0"/>
                <w:color w:val="000000"/>
                <w:sz w:val="18"/>
                <w:szCs w:val="18"/>
                <w:vertAlign w:val="baseline"/>
                <w:lang w:val="en-US" w:eastAsia="zh-CN"/>
              </w:rPr>
            </w:pPr>
          </w:p>
        </w:tc>
        <w:tc>
          <w:tcPr>
            <w:tcW w:w="2045" w:type="dxa"/>
            <w:vMerge w:val="continue"/>
            <w:tcBorders>
              <w:left w:val="single" w:color="000000" w:sz="4" w:space="0"/>
              <w:right w:val="single" w:color="000000" w:sz="4" w:space="0"/>
            </w:tcBorders>
            <w:shd w:val="clear" w:color="auto" w:fill="FFFFFF"/>
            <w:vAlign w:val="center"/>
          </w:tcPr>
          <w:p w14:paraId="64076D95">
            <w:pPr>
              <w:keepNext w:val="0"/>
              <w:keepLines w:val="0"/>
              <w:widowControl/>
              <w:suppressLineNumbers w:val="0"/>
              <w:jc w:val="left"/>
              <w:rPr>
                <w:rFonts w:hint="eastAsia" w:ascii="宋体" w:hAnsi="宋体" w:eastAsia="宋体" w:cs="宋体"/>
                <w:color w:val="000000"/>
                <w:kern w:val="0"/>
                <w:sz w:val="18"/>
                <w:szCs w:val="18"/>
                <w:lang w:val="en-US" w:eastAsia="zh-CN" w:bidi="ar"/>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E48A0F">
            <w:pPr>
              <w:pStyle w:val="57"/>
              <w:ind w:left="0" w:leftChars="0" w:firstLine="0" w:firstLineChars="0"/>
              <w:jc w:val="both"/>
              <w:rPr>
                <w:rFonts w:hint="eastAsia" w:ascii="宋体" w:hAnsi="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达到警戒值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E1BC59">
            <w:pPr>
              <w:pStyle w:val="57"/>
              <w:ind w:left="0" w:leftChars="0" w:firstLine="0" w:firstLineChars="0"/>
              <w:jc w:val="center"/>
              <w:rPr>
                <w:rFonts w:hint="eastAsia" w:hAnsi="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2级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7CE40455">
            <w:pPr>
              <w:pStyle w:val="57"/>
              <w:ind w:left="0" w:leftChars="0" w:firstLine="0" w:firstLineChars="0"/>
              <w:jc w:val="both"/>
              <w:rPr>
                <w:rFonts w:hint="eastAsia" w:ascii="宋体" w:hAnsi="宋体" w:eastAsia="宋体" w:cs="宋体"/>
                <w:b w:val="0"/>
                <w:color w:val="000000"/>
                <w:sz w:val="18"/>
                <w:szCs w:val="18"/>
                <w:vertAlign w:val="baseline"/>
              </w:rPr>
            </w:pPr>
          </w:p>
        </w:tc>
      </w:tr>
      <w:tr w14:paraId="35D12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restart"/>
            <w:tcBorders>
              <w:left w:val="single" w:color="000000" w:sz="12" w:space="0"/>
              <w:right w:val="single" w:color="000000" w:sz="4" w:space="0"/>
            </w:tcBorders>
            <w:shd w:val="clear" w:color="auto" w:fill="FFFFFF"/>
            <w:vAlign w:val="center"/>
          </w:tcPr>
          <w:p w14:paraId="7AF7D445">
            <w:pPr>
              <w:pStyle w:val="57"/>
              <w:ind w:left="0" w:leftChars="0" w:firstLine="0" w:firstLineChars="0"/>
              <w:jc w:val="center"/>
              <w:rPr>
                <w:rFonts w:hint="default" w:hAnsi="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7</w:t>
            </w:r>
          </w:p>
        </w:tc>
        <w:tc>
          <w:tcPr>
            <w:tcW w:w="2045" w:type="dxa"/>
            <w:vMerge w:val="restart"/>
            <w:tcBorders>
              <w:left w:val="single" w:color="000000" w:sz="4" w:space="0"/>
              <w:right w:val="single" w:color="000000" w:sz="4" w:space="0"/>
            </w:tcBorders>
            <w:shd w:val="clear" w:color="auto" w:fill="FFFFFF"/>
            <w:vAlign w:val="center"/>
          </w:tcPr>
          <w:p w14:paraId="70F4CF8B">
            <w:pPr>
              <w:keepNext w:val="0"/>
              <w:keepLines w:val="0"/>
              <w:widowControl/>
              <w:suppressLineNumbers w:val="0"/>
              <w:jc w:val="left"/>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振动加速度</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A4CFE7">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达到 0.8</w:t>
            </w:r>
            <w:r>
              <w:rPr>
                <w:rFonts w:hint="eastAsia" w:ascii="宋体" w:hAnsi="宋体" w:cs="宋体"/>
                <w:b w:val="0"/>
                <w:color w:val="000000"/>
                <w:kern w:val="0"/>
                <w:sz w:val="18"/>
                <w:szCs w:val="18"/>
                <w:lang w:val="en-US" w:eastAsia="zh-CN" w:bidi="ar"/>
              </w:rPr>
              <w:t>5</w:t>
            </w:r>
            <w:r>
              <w:rPr>
                <w:rFonts w:hint="eastAsia" w:ascii="宋体" w:hAnsi="宋体" w:eastAsia="宋体" w:cs="宋体"/>
                <w:b w:val="0"/>
                <w:color w:val="000000"/>
                <w:kern w:val="0"/>
                <w:sz w:val="18"/>
                <w:szCs w:val="18"/>
                <w:lang w:val="en-US" w:eastAsia="zh-CN" w:bidi="ar"/>
              </w:rPr>
              <w:t xml:space="preserve"> 倍设计值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EA1A24">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2</w:t>
            </w:r>
            <w:r>
              <w:rPr>
                <w:rFonts w:hint="eastAsia" w:ascii="宋体" w:hAnsi="宋体" w:eastAsia="宋体" w:cs="宋体"/>
                <w:b w:val="0"/>
                <w:color w:val="000000"/>
                <w:sz w:val="18"/>
                <w:szCs w:val="18"/>
                <w:vertAlign w:val="baseline"/>
                <w:lang w:val="en-US" w:eastAsia="zh-CN"/>
              </w:rPr>
              <w:t>级</w:t>
            </w:r>
          </w:p>
        </w:tc>
        <w:tc>
          <w:tcPr>
            <w:tcW w:w="1914" w:type="dxa"/>
            <w:vMerge w:val="restart"/>
            <w:tcBorders>
              <w:top w:val="single" w:color="000000" w:sz="4" w:space="0"/>
              <w:left w:val="single" w:color="000000" w:sz="4" w:space="0"/>
              <w:right w:val="single" w:color="000000" w:sz="12" w:space="0"/>
            </w:tcBorders>
            <w:shd w:val="clear" w:color="auto" w:fill="FFFFFF"/>
            <w:vAlign w:val="center"/>
          </w:tcPr>
          <w:p w14:paraId="042609C2">
            <w:pPr>
              <w:pStyle w:val="57"/>
              <w:ind w:left="0" w:leftChars="0" w:firstLine="0" w:firstLineChars="0"/>
              <w:jc w:val="both"/>
              <w:rPr>
                <w:rFonts w:hint="default"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闸门</w:t>
            </w:r>
          </w:p>
        </w:tc>
      </w:tr>
      <w:tr w14:paraId="0B43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continue"/>
            <w:tcBorders>
              <w:left w:val="single" w:color="000000" w:sz="12" w:space="0"/>
              <w:right w:val="single" w:color="000000" w:sz="4" w:space="0"/>
            </w:tcBorders>
            <w:shd w:val="clear" w:color="auto" w:fill="FFFFFF"/>
            <w:vAlign w:val="center"/>
          </w:tcPr>
          <w:p w14:paraId="6296F6EA">
            <w:pPr>
              <w:pStyle w:val="57"/>
              <w:ind w:left="0" w:leftChars="0" w:firstLine="0" w:firstLineChars="0"/>
              <w:jc w:val="center"/>
              <w:rPr>
                <w:rFonts w:hint="default" w:hAnsi="宋体" w:cs="宋体"/>
                <w:b w:val="0"/>
                <w:color w:val="000000"/>
                <w:sz w:val="18"/>
                <w:szCs w:val="18"/>
                <w:vertAlign w:val="baseline"/>
                <w:lang w:val="en-US" w:eastAsia="zh-CN"/>
              </w:rPr>
            </w:pPr>
          </w:p>
        </w:tc>
        <w:tc>
          <w:tcPr>
            <w:tcW w:w="2045" w:type="dxa"/>
            <w:vMerge w:val="continue"/>
            <w:tcBorders>
              <w:left w:val="single" w:color="000000" w:sz="4" w:space="0"/>
              <w:right w:val="single" w:color="000000" w:sz="4" w:space="0"/>
            </w:tcBorders>
            <w:shd w:val="clear" w:color="auto" w:fill="FFFFFF"/>
            <w:vAlign w:val="center"/>
          </w:tcPr>
          <w:p w14:paraId="7E1E58EA">
            <w:pPr>
              <w:keepNext w:val="0"/>
              <w:keepLines w:val="0"/>
              <w:widowControl/>
              <w:suppressLineNumbers w:val="0"/>
              <w:jc w:val="left"/>
              <w:rPr>
                <w:rFonts w:hint="eastAsia" w:ascii="宋体" w:hAnsi="宋体" w:eastAsia="宋体" w:cs="宋体"/>
                <w:color w:val="000000"/>
                <w:kern w:val="0"/>
                <w:sz w:val="18"/>
                <w:szCs w:val="18"/>
                <w:lang w:val="en-US" w:eastAsia="zh-CN" w:bidi="ar"/>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DD153A">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达到设计值或一个月内出现10次以上2级超限</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EB8DDE">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3</w:t>
            </w:r>
            <w:r>
              <w:rPr>
                <w:rFonts w:hint="eastAsia" w:ascii="宋体" w:hAnsi="宋体" w:eastAsia="宋体" w:cs="宋体"/>
                <w:b w:val="0"/>
                <w:color w:val="000000"/>
                <w:sz w:val="18"/>
                <w:szCs w:val="18"/>
                <w:vertAlign w:val="baseline"/>
                <w:lang w:val="en-US" w:eastAsia="zh-CN"/>
              </w:rPr>
              <w:t>级</w:t>
            </w:r>
          </w:p>
        </w:tc>
        <w:tc>
          <w:tcPr>
            <w:tcW w:w="1914" w:type="dxa"/>
            <w:vMerge w:val="continue"/>
            <w:tcBorders>
              <w:left w:val="single" w:color="000000" w:sz="4" w:space="0"/>
              <w:bottom w:val="single" w:color="000000" w:sz="4" w:space="0"/>
              <w:right w:val="single" w:color="000000" w:sz="12" w:space="0"/>
            </w:tcBorders>
            <w:shd w:val="clear" w:color="auto" w:fill="FFFFFF"/>
            <w:vAlign w:val="center"/>
          </w:tcPr>
          <w:p w14:paraId="2E508F0C">
            <w:pPr>
              <w:pStyle w:val="57"/>
              <w:ind w:left="0" w:leftChars="0" w:firstLine="0" w:firstLineChars="0"/>
              <w:jc w:val="both"/>
              <w:rPr>
                <w:rFonts w:hint="eastAsia" w:ascii="宋体" w:hAnsi="宋体" w:eastAsia="宋体" w:cs="宋体"/>
                <w:b w:val="0"/>
                <w:color w:val="000000"/>
                <w:sz w:val="18"/>
                <w:szCs w:val="18"/>
                <w:vertAlign w:val="baseline"/>
              </w:rPr>
            </w:pPr>
          </w:p>
        </w:tc>
      </w:tr>
      <w:tr w14:paraId="7ABC6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000000" w:sz="4" w:space="0"/>
              <w:left w:val="single" w:color="000000" w:sz="12" w:space="0"/>
              <w:bottom w:val="single" w:color="000000" w:sz="12" w:space="0"/>
              <w:right w:val="single" w:color="000000" w:sz="4" w:space="0"/>
            </w:tcBorders>
            <w:shd w:val="clear" w:color="auto" w:fill="FFFFFF"/>
            <w:vAlign w:val="center"/>
          </w:tcPr>
          <w:p w14:paraId="5E4308FC">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8</w:t>
            </w:r>
          </w:p>
        </w:tc>
        <w:tc>
          <w:tcPr>
            <w:tcW w:w="2045" w:type="dxa"/>
            <w:tcBorders>
              <w:top w:val="single" w:color="000000" w:sz="4" w:space="0"/>
              <w:left w:val="single" w:color="000000" w:sz="4" w:space="0"/>
              <w:bottom w:val="single" w:color="000000" w:sz="12" w:space="0"/>
              <w:right w:val="single" w:color="000000" w:sz="4" w:space="0"/>
            </w:tcBorders>
            <w:shd w:val="clear" w:color="auto" w:fill="FFFFFF"/>
            <w:vAlign w:val="center"/>
          </w:tcPr>
          <w:p w14:paraId="09AA78E6">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cs="宋体"/>
                <w:color w:val="000000"/>
                <w:kern w:val="0"/>
                <w:sz w:val="18"/>
                <w:szCs w:val="18"/>
                <w:lang w:val="en-US" w:eastAsia="zh-CN" w:bidi="ar"/>
              </w:rPr>
              <w:t>钢结构耐久性</w:t>
            </w:r>
          </w:p>
        </w:tc>
        <w:tc>
          <w:tcPr>
            <w:tcW w:w="3589" w:type="dxa"/>
            <w:tcBorders>
              <w:top w:val="single" w:color="000000" w:sz="4" w:space="0"/>
              <w:left w:val="single" w:color="000000" w:sz="4" w:space="0"/>
              <w:bottom w:val="single" w:color="000000" w:sz="12" w:space="0"/>
              <w:right w:val="single" w:color="000000" w:sz="4" w:space="0"/>
            </w:tcBorders>
            <w:shd w:val="clear" w:color="auto" w:fill="FFFFFF"/>
            <w:vAlign w:val="center"/>
          </w:tcPr>
          <w:p w14:paraId="7B0893F5">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腐蚀深度达到保护层深度</w:t>
            </w:r>
          </w:p>
        </w:tc>
        <w:tc>
          <w:tcPr>
            <w:tcW w:w="1043" w:type="dxa"/>
            <w:tcBorders>
              <w:top w:val="single" w:color="000000" w:sz="4" w:space="0"/>
              <w:left w:val="single" w:color="000000" w:sz="4" w:space="0"/>
              <w:bottom w:val="single" w:color="000000" w:sz="12" w:space="0"/>
              <w:right w:val="single" w:color="000000" w:sz="4" w:space="0"/>
            </w:tcBorders>
            <w:shd w:val="clear" w:color="auto" w:fill="FFFFFF"/>
            <w:vAlign w:val="center"/>
          </w:tcPr>
          <w:p w14:paraId="38A4B4F2">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2级</w:t>
            </w:r>
          </w:p>
        </w:tc>
        <w:tc>
          <w:tcPr>
            <w:tcW w:w="1914" w:type="dxa"/>
            <w:tcBorders>
              <w:top w:val="single" w:color="000000" w:sz="4" w:space="0"/>
              <w:left w:val="single" w:color="000000" w:sz="4" w:space="0"/>
              <w:bottom w:val="single" w:color="000000" w:sz="12" w:space="0"/>
              <w:right w:val="single" w:color="000000" w:sz="12" w:space="0"/>
            </w:tcBorders>
            <w:shd w:val="clear" w:color="auto" w:fill="FFFFFF"/>
            <w:vAlign w:val="center"/>
          </w:tcPr>
          <w:p w14:paraId="4BF49804">
            <w:pPr>
              <w:pStyle w:val="57"/>
              <w:ind w:left="0" w:leftChars="0" w:firstLine="0" w:firstLineChars="0"/>
              <w:jc w:val="both"/>
              <w:rPr>
                <w:rFonts w:hint="eastAsia" w:ascii="宋体" w:hAnsi="宋体" w:eastAsia="宋体" w:cs="宋体"/>
                <w:b w:val="0"/>
                <w:color w:val="000000"/>
                <w:sz w:val="18"/>
                <w:szCs w:val="18"/>
                <w:vertAlign w:val="baseline"/>
              </w:rPr>
            </w:pPr>
          </w:p>
        </w:tc>
      </w:tr>
    </w:tbl>
    <w:p w14:paraId="05E66ECD">
      <w:pPr>
        <w:pStyle w:val="181"/>
        <w:numPr>
          <w:ilvl w:val="0"/>
          <w:numId w:val="37"/>
        </w:numPr>
        <w:rPr>
          <w:rFonts w:hint="eastAsia" w:hAnsi="宋体" w:cs="宋体"/>
          <w:color w:val="000000"/>
          <w:lang w:bidi="ar"/>
        </w:rPr>
      </w:pPr>
      <w:r>
        <w:rPr>
          <w:rFonts w:hint="eastAsia" w:hAnsi="宋体" w:cs="宋体"/>
          <w:color w:val="000000"/>
          <w:lang w:val="en-US" w:eastAsia="zh-CN" w:bidi="ar"/>
        </w:rPr>
        <w:t>超限阈值可根据内河船闸的健康度和技术状况进行调整。</w:t>
      </w:r>
    </w:p>
    <w:p w14:paraId="6BD875C2">
      <w:pPr>
        <w:pStyle w:val="181"/>
        <w:numPr>
          <w:ilvl w:val="0"/>
          <w:numId w:val="37"/>
        </w:numPr>
        <w:rPr>
          <w:rFonts w:hint="eastAsia" w:hAnsi="宋体" w:cs="宋体"/>
          <w:color w:val="000000"/>
          <w:lang w:bidi="ar"/>
        </w:rPr>
      </w:pPr>
      <w:r>
        <w:rPr>
          <w:rFonts w:hint="eastAsia" w:hAnsi="宋体" w:cs="宋体"/>
          <w:color w:val="000000"/>
          <w:lang w:bidi="ar"/>
        </w:rPr>
        <w:t>“超限阈值”一列中的“设计值”参考了</w:t>
      </w:r>
      <w:r>
        <w:rPr>
          <w:rFonts w:hint="eastAsia" w:hAnsi="宋体" w:cs="宋体"/>
          <w:color w:val="000000"/>
          <w:lang w:val="en-US" w:eastAsia="zh-CN" w:bidi="ar"/>
        </w:rPr>
        <w:t>JTS 304、JTS/T 312</w:t>
      </w:r>
      <w:r>
        <w:rPr>
          <w:rFonts w:hint="eastAsia" w:hAnsi="宋体" w:cs="宋体"/>
          <w:color w:val="000000"/>
          <w:lang w:bidi="ar"/>
        </w:rPr>
        <w:t>的相关规定。</w:t>
      </w:r>
    </w:p>
    <w:p w14:paraId="2FE6467A">
      <w:pPr>
        <w:pStyle w:val="57"/>
        <w:ind w:left="0" w:leftChars="0" w:firstLine="0" w:firstLineChars="0"/>
        <w:rPr>
          <w:rFonts w:hint="eastAsia"/>
        </w:rPr>
      </w:pPr>
    </w:p>
    <w:p w14:paraId="75F653BB">
      <w:pPr>
        <w:pStyle w:val="57"/>
        <w:ind w:left="0" w:leftChars="0" w:firstLine="0" w:firstLineChars="0"/>
        <w:rPr>
          <w:rFonts w:hint="eastAsia"/>
        </w:rPr>
      </w:pPr>
    </w:p>
    <w:p w14:paraId="4CB4CAB8">
      <w:pPr>
        <w:pStyle w:val="57"/>
        <w:ind w:left="0" w:leftChars="0" w:firstLine="0" w:firstLineChars="0"/>
        <w:rPr>
          <w:rFonts w:hint="eastAsia"/>
        </w:rPr>
      </w:pPr>
    </w:p>
    <w:p w14:paraId="023BAD10">
      <w:pPr>
        <w:pStyle w:val="57"/>
        <w:ind w:left="0" w:leftChars="0" w:firstLine="0" w:firstLineChars="0"/>
        <w:rPr>
          <w:rFonts w:hint="eastAsia"/>
        </w:rPr>
      </w:pPr>
    </w:p>
    <w:p w14:paraId="68CFD48B">
      <w:pPr>
        <w:pStyle w:val="57"/>
        <w:ind w:left="0" w:leftChars="0" w:firstLine="0" w:firstLineChars="0"/>
        <w:rPr>
          <w:rFonts w:hint="eastAsia"/>
        </w:rPr>
      </w:pPr>
    </w:p>
    <w:p w14:paraId="11419F42">
      <w:pPr>
        <w:pStyle w:val="57"/>
        <w:ind w:left="0" w:leftChars="0" w:firstLine="0" w:firstLineChars="0"/>
        <w:rPr>
          <w:rFonts w:hint="eastAsia"/>
        </w:rPr>
      </w:pPr>
    </w:p>
    <w:p w14:paraId="33CD167B">
      <w:pPr>
        <w:pStyle w:val="57"/>
        <w:ind w:left="0" w:leftChars="0" w:firstLine="0" w:firstLineChars="0"/>
        <w:rPr>
          <w:rFonts w:hint="eastAsia"/>
        </w:rPr>
      </w:pPr>
    </w:p>
    <w:p w14:paraId="0DCCED22">
      <w:pPr>
        <w:pStyle w:val="57"/>
        <w:ind w:left="0" w:leftChars="0" w:firstLine="0" w:firstLineChars="0"/>
        <w:rPr>
          <w:rFonts w:hint="eastAsia"/>
        </w:rPr>
      </w:pPr>
    </w:p>
    <w:p w14:paraId="370B0460">
      <w:pPr>
        <w:pStyle w:val="77"/>
        <w:spacing w:after="156"/>
      </w:pPr>
      <w:bookmarkStart w:id="78" w:name="_Toc14823"/>
      <w:r>
        <w:br w:type="textWrapping"/>
      </w:r>
      <w:r>
        <w:rPr>
          <w:rFonts w:hint="eastAsia"/>
        </w:rPr>
        <w:t>（规范性）</w:t>
      </w:r>
      <w:r>
        <w:br w:type="textWrapping"/>
      </w:r>
      <w:r>
        <w:rPr>
          <w:rFonts w:hint="eastAsia" w:hAnsi="宋体" w:cs="黑体"/>
          <w:color w:val="000000"/>
          <w:kern w:val="0"/>
          <w:sz w:val="21"/>
          <w:szCs w:val="21"/>
          <w:lang w:val="en-US" w:eastAsia="zh-CN" w:bidi="ar"/>
        </w:rPr>
        <w:t>码头健康</w:t>
      </w:r>
      <w:r>
        <w:rPr>
          <w:rFonts w:hint="eastAsia"/>
          <w:lang w:val="en-US" w:eastAsia="zh-CN"/>
        </w:rPr>
        <w:t>监测与预警常见特征指标超限初始阈值</w:t>
      </w:r>
      <w:bookmarkEnd w:id="78"/>
    </w:p>
    <w:p w14:paraId="15DEE51D">
      <w:pPr>
        <w:pStyle w:val="57"/>
        <w:ind w:left="0" w:leftChars="0" w:firstLine="0" w:firstLineChars="0"/>
        <w:rPr>
          <w:rFonts w:hint="eastAsia"/>
          <w:lang w:val="en-US" w:eastAsia="zh-CN"/>
        </w:rPr>
      </w:pPr>
      <w:r>
        <w:rPr>
          <w:rFonts w:hint="eastAsia"/>
          <w:lang w:val="en-US" w:eastAsia="zh-CN"/>
        </w:rPr>
        <w:t>表C.1规范了码头健康监测与预警常见特征指标的超限初始阈值。</w:t>
      </w:r>
    </w:p>
    <w:p w14:paraId="40004AD4">
      <w:pPr>
        <w:keepNext w:val="0"/>
        <w:keepLines w:val="0"/>
        <w:widowControl/>
        <w:suppressLineNumbers w:val="0"/>
        <w:jc w:val="center"/>
        <w:rPr>
          <w:rFonts w:hint="default" w:ascii="黑体" w:hAnsi="宋体" w:eastAsia="黑体" w:cs="黑体"/>
          <w:color w:val="000000"/>
          <w:kern w:val="0"/>
          <w:sz w:val="21"/>
          <w:szCs w:val="21"/>
          <w:lang w:val="en-US" w:eastAsia="zh-CN" w:bidi="ar"/>
        </w:rPr>
      </w:pPr>
      <w:r>
        <w:rPr>
          <w:rFonts w:hint="eastAsia" w:ascii="黑体" w:hAnsi="宋体" w:eastAsia="黑体" w:cs="黑体"/>
          <w:color w:val="000000"/>
          <w:kern w:val="0"/>
          <w:sz w:val="21"/>
          <w:szCs w:val="21"/>
          <w:lang w:val="en-US" w:eastAsia="zh-CN" w:bidi="ar"/>
        </w:rPr>
        <w:t>表C.1  码头健康监测与预警常见特征指标超限初始阈值表</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2045"/>
        <w:gridCol w:w="3589"/>
        <w:gridCol w:w="1043"/>
        <w:gridCol w:w="1914"/>
      </w:tblGrid>
      <w:tr w14:paraId="36FED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000000" w:sz="12" w:space="0"/>
              <w:left w:val="single" w:color="000000" w:sz="12" w:space="0"/>
              <w:bottom w:val="single" w:color="000000" w:sz="4" w:space="0"/>
              <w:right w:val="single" w:color="000000" w:sz="4" w:space="0"/>
              <w:tl2br w:val="nil"/>
            </w:tcBorders>
            <w:shd w:val="clear" w:color="auto" w:fill="FFFFFF"/>
          </w:tcPr>
          <w:p w14:paraId="54681A03">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序号</w:t>
            </w:r>
          </w:p>
        </w:tc>
        <w:tc>
          <w:tcPr>
            <w:tcW w:w="2045" w:type="dxa"/>
            <w:tcBorders>
              <w:top w:val="single" w:color="000000" w:sz="12" w:space="0"/>
              <w:left w:val="single" w:color="000000" w:sz="4" w:space="0"/>
              <w:bottom w:val="single" w:color="000000" w:sz="4" w:space="0"/>
              <w:right w:val="single" w:color="000000" w:sz="4" w:space="0"/>
            </w:tcBorders>
            <w:shd w:val="clear" w:color="auto" w:fill="FFFFFF"/>
          </w:tcPr>
          <w:p w14:paraId="5D813329">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特征指标</w:t>
            </w:r>
          </w:p>
        </w:tc>
        <w:tc>
          <w:tcPr>
            <w:tcW w:w="3589" w:type="dxa"/>
            <w:tcBorders>
              <w:top w:val="single" w:color="000000" w:sz="12" w:space="0"/>
              <w:left w:val="single" w:color="000000" w:sz="4" w:space="0"/>
              <w:bottom w:val="single" w:color="000000" w:sz="4" w:space="0"/>
              <w:right w:val="single" w:color="000000" w:sz="4" w:space="0"/>
            </w:tcBorders>
            <w:shd w:val="clear" w:color="auto" w:fill="FFFFFF"/>
          </w:tcPr>
          <w:p w14:paraId="1894272E">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超限初始</w:t>
            </w:r>
            <w:r>
              <w:rPr>
                <w:rFonts w:hint="eastAsia" w:ascii="宋体" w:hAnsi="宋体" w:eastAsia="宋体" w:cs="宋体"/>
                <w:b w:val="0"/>
                <w:color w:val="000000"/>
                <w:sz w:val="18"/>
                <w:szCs w:val="18"/>
                <w:vertAlign w:val="baseline"/>
                <w:lang w:val="en-US" w:eastAsia="zh-CN"/>
              </w:rPr>
              <w:t>阈值</w:t>
            </w:r>
          </w:p>
        </w:tc>
        <w:tc>
          <w:tcPr>
            <w:tcW w:w="1043" w:type="dxa"/>
            <w:tcBorders>
              <w:top w:val="single" w:color="000000" w:sz="12" w:space="0"/>
              <w:left w:val="single" w:color="000000" w:sz="4" w:space="0"/>
              <w:bottom w:val="single" w:color="000000" w:sz="4" w:space="0"/>
              <w:right w:val="single" w:color="000000" w:sz="4" w:space="0"/>
            </w:tcBorders>
            <w:shd w:val="clear" w:color="auto" w:fill="FFFFFF"/>
          </w:tcPr>
          <w:p w14:paraId="6ECDF6C7">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超限级别</w:t>
            </w:r>
          </w:p>
        </w:tc>
        <w:tc>
          <w:tcPr>
            <w:tcW w:w="1914" w:type="dxa"/>
            <w:tcBorders>
              <w:top w:val="single" w:color="000000" w:sz="12" w:space="0"/>
              <w:left w:val="single" w:color="000000" w:sz="4" w:space="0"/>
              <w:bottom w:val="single" w:color="000000" w:sz="4" w:space="0"/>
              <w:right w:val="single" w:color="000000" w:sz="12" w:space="0"/>
            </w:tcBorders>
            <w:shd w:val="clear" w:color="auto" w:fill="FFFFFF"/>
          </w:tcPr>
          <w:p w14:paraId="342165C1">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备注</w:t>
            </w:r>
          </w:p>
        </w:tc>
      </w:tr>
      <w:tr w14:paraId="08F99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restart"/>
            <w:tcBorders>
              <w:top w:val="single" w:color="000000" w:sz="4" w:space="0"/>
              <w:left w:val="single" w:color="000000" w:sz="12" w:space="0"/>
              <w:bottom w:val="single" w:color="000000" w:sz="4" w:space="0"/>
              <w:right w:val="single" w:color="000000" w:sz="4" w:space="0"/>
            </w:tcBorders>
            <w:shd w:val="clear" w:color="auto" w:fill="FFFFFF"/>
            <w:vAlign w:val="center"/>
          </w:tcPr>
          <w:p w14:paraId="1ED7405C">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1</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4ED57E0">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位移、倾斜</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A5D2E1">
            <w:pPr>
              <w:keepNext w:val="0"/>
              <w:keepLines w:val="0"/>
              <w:widowControl/>
              <w:suppressLineNumbers w:val="0"/>
              <w:jc w:val="left"/>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kern w:val="0"/>
                <w:sz w:val="18"/>
                <w:szCs w:val="18"/>
                <w:lang w:val="en-US" w:eastAsia="zh-CN" w:bidi="ar"/>
              </w:rPr>
              <w:t>达到 0.8</w:t>
            </w:r>
            <w:r>
              <w:rPr>
                <w:rFonts w:hint="eastAsia" w:ascii="宋体" w:hAnsi="宋体" w:cs="宋体"/>
                <w:b w:val="0"/>
                <w:color w:val="000000"/>
                <w:kern w:val="0"/>
                <w:sz w:val="18"/>
                <w:szCs w:val="18"/>
                <w:lang w:val="en-US" w:eastAsia="zh-CN" w:bidi="ar"/>
              </w:rPr>
              <w:t>5</w:t>
            </w:r>
            <w:r>
              <w:rPr>
                <w:rFonts w:hint="eastAsia" w:ascii="宋体" w:hAnsi="宋体" w:eastAsia="宋体" w:cs="宋体"/>
                <w:b w:val="0"/>
                <w:color w:val="000000"/>
                <w:kern w:val="0"/>
                <w:sz w:val="18"/>
                <w:szCs w:val="18"/>
                <w:lang w:val="en-US" w:eastAsia="zh-CN" w:bidi="ar"/>
              </w:rPr>
              <w:t xml:space="preserve"> 倍设计值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C92BD0">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2级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2E861F11">
            <w:pPr>
              <w:pStyle w:val="57"/>
              <w:ind w:left="0" w:leftChars="0" w:firstLine="0" w:firstLineChars="0"/>
              <w:jc w:val="both"/>
              <w:rPr>
                <w:rFonts w:hint="eastAsia" w:ascii="宋体" w:hAnsi="宋体" w:eastAsia="宋体" w:cs="宋体"/>
                <w:b w:val="0"/>
                <w:color w:val="000000"/>
                <w:sz w:val="18"/>
                <w:szCs w:val="18"/>
                <w:vertAlign w:val="baseline"/>
              </w:rPr>
            </w:pPr>
          </w:p>
        </w:tc>
      </w:tr>
      <w:tr w14:paraId="5EDC6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continue"/>
            <w:tcBorders>
              <w:top w:val="single" w:color="000000" w:sz="4" w:space="0"/>
              <w:left w:val="single" w:color="000000" w:sz="12" w:space="0"/>
              <w:bottom w:val="single" w:color="000000" w:sz="4" w:space="0"/>
              <w:right w:val="single" w:color="000000" w:sz="4" w:space="0"/>
            </w:tcBorders>
            <w:shd w:val="clear" w:color="auto" w:fill="FFFFFF"/>
            <w:vAlign w:val="center"/>
          </w:tcPr>
          <w:p w14:paraId="3796E0C0">
            <w:pPr>
              <w:pStyle w:val="57"/>
              <w:ind w:left="0" w:leftChars="0" w:firstLine="0" w:firstLineChars="0"/>
              <w:jc w:val="both"/>
              <w:rPr>
                <w:rFonts w:hint="eastAsia" w:ascii="宋体" w:hAnsi="宋体" w:eastAsia="宋体" w:cs="宋体"/>
                <w:b w:val="0"/>
                <w:color w:val="000000"/>
                <w:sz w:val="18"/>
                <w:szCs w:val="18"/>
                <w:vertAlign w:val="baseline"/>
                <w:lang w:val="en-US" w:eastAsia="zh-CN"/>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938958A">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952CD2">
            <w:pPr>
              <w:keepNext w:val="0"/>
              <w:keepLines w:val="0"/>
              <w:widowControl/>
              <w:suppressLineNumbers w:val="0"/>
              <w:jc w:val="left"/>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kern w:val="0"/>
                <w:sz w:val="18"/>
                <w:szCs w:val="18"/>
                <w:lang w:val="en-US" w:eastAsia="zh-CN" w:bidi="ar"/>
              </w:rPr>
              <w:t>达到设计值或一个月内出现10次以上2级超限</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9BAF06">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3级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6CFC663B">
            <w:pPr>
              <w:pStyle w:val="57"/>
              <w:ind w:left="0" w:leftChars="0" w:firstLine="0" w:firstLineChars="0"/>
              <w:jc w:val="both"/>
              <w:rPr>
                <w:rFonts w:hint="eastAsia" w:ascii="宋体" w:hAnsi="宋体" w:eastAsia="宋体" w:cs="宋体"/>
                <w:b w:val="0"/>
                <w:color w:val="000000"/>
                <w:sz w:val="18"/>
                <w:szCs w:val="18"/>
                <w:vertAlign w:val="baseline"/>
              </w:rPr>
            </w:pPr>
          </w:p>
        </w:tc>
      </w:tr>
      <w:tr w14:paraId="7073D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restart"/>
            <w:tcBorders>
              <w:top w:val="single" w:color="000000" w:sz="4" w:space="0"/>
              <w:left w:val="single" w:color="000000" w:sz="12" w:space="0"/>
              <w:bottom w:val="single" w:color="000000" w:sz="4" w:space="0"/>
              <w:right w:val="single" w:color="000000" w:sz="4" w:space="0"/>
            </w:tcBorders>
            <w:shd w:val="clear" w:color="auto" w:fill="FFFFFF"/>
            <w:vAlign w:val="center"/>
          </w:tcPr>
          <w:p w14:paraId="26BB50DE">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2</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042794B">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应力</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3680B9">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达到 0.8</w:t>
            </w:r>
            <w:r>
              <w:rPr>
                <w:rFonts w:hint="eastAsia" w:ascii="宋体" w:hAnsi="宋体" w:cs="宋体"/>
                <w:b w:val="0"/>
                <w:color w:val="000000"/>
                <w:kern w:val="0"/>
                <w:sz w:val="18"/>
                <w:szCs w:val="18"/>
                <w:lang w:val="en-US" w:eastAsia="zh-CN" w:bidi="ar"/>
              </w:rPr>
              <w:t>5</w:t>
            </w:r>
            <w:r>
              <w:rPr>
                <w:rFonts w:hint="eastAsia" w:ascii="宋体" w:hAnsi="宋体" w:eastAsia="宋体" w:cs="宋体"/>
                <w:b w:val="0"/>
                <w:color w:val="000000"/>
                <w:kern w:val="0"/>
                <w:sz w:val="18"/>
                <w:szCs w:val="18"/>
                <w:lang w:val="en-US" w:eastAsia="zh-CN" w:bidi="ar"/>
              </w:rPr>
              <w:t xml:space="preserve"> 倍设计值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AB9046">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2</w:t>
            </w:r>
            <w:r>
              <w:rPr>
                <w:rFonts w:hint="eastAsia" w:ascii="宋体" w:hAnsi="宋体" w:eastAsia="宋体" w:cs="宋体"/>
                <w:b w:val="0"/>
                <w:color w:val="000000"/>
                <w:sz w:val="18"/>
                <w:szCs w:val="18"/>
                <w:vertAlign w:val="baseline"/>
                <w:lang w:val="en-US" w:eastAsia="zh-CN"/>
              </w:rPr>
              <w:t>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4716D93D">
            <w:pPr>
              <w:pStyle w:val="57"/>
              <w:ind w:left="0" w:leftChars="0" w:firstLine="0" w:firstLineChars="0"/>
              <w:jc w:val="both"/>
              <w:rPr>
                <w:rFonts w:hint="eastAsia" w:ascii="宋体" w:hAnsi="宋体" w:eastAsia="宋体" w:cs="宋体"/>
                <w:b w:val="0"/>
                <w:color w:val="000000"/>
                <w:sz w:val="18"/>
                <w:szCs w:val="18"/>
                <w:vertAlign w:val="baseline"/>
              </w:rPr>
            </w:pPr>
          </w:p>
        </w:tc>
      </w:tr>
      <w:tr w14:paraId="07D3E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continue"/>
            <w:tcBorders>
              <w:top w:val="single" w:color="000000" w:sz="4" w:space="0"/>
              <w:left w:val="single" w:color="000000" w:sz="12" w:space="0"/>
              <w:bottom w:val="single" w:color="000000" w:sz="4" w:space="0"/>
              <w:right w:val="single" w:color="000000" w:sz="4" w:space="0"/>
            </w:tcBorders>
            <w:shd w:val="clear" w:color="auto" w:fill="FFFFFF"/>
            <w:vAlign w:val="center"/>
          </w:tcPr>
          <w:p w14:paraId="48D6837E">
            <w:pPr>
              <w:pStyle w:val="57"/>
              <w:ind w:left="0" w:leftChars="0" w:firstLine="0" w:firstLineChars="0"/>
              <w:jc w:val="both"/>
              <w:rPr>
                <w:rFonts w:hint="eastAsia" w:ascii="宋体" w:hAnsi="宋体" w:eastAsia="宋体" w:cs="宋体"/>
                <w:b w:val="0"/>
                <w:color w:val="000000"/>
                <w:sz w:val="18"/>
                <w:szCs w:val="18"/>
                <w:vertAlign w:val="baseline"/>
                <w:lang w:val="en-US" w:eastAsia="zh-CN"/>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FCD6411">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F04463">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达到设计值或一个月内出现10次以上2级超限</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492D79">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3</w:t>
            </w:r>
            <w:r>
              <w:rPr>
                <w:rFonts w:hint="eastAsia" w:ascii="宋体" w:hAnsi="宋体" w:eastAsia="宋体" w:cs="宋体"/>
                <w:b w:val="0"/>
                <w:color w:val="000000"/>
                <w:sz w:val="18"/>
                <w:szCs w:val="18"/>
                <w:vertAlign w:val="baseline"/>
                <w:lang w:val="en-US" w:eastAsia="zh-CN"/>
              </w:rPr>
              <w:t>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639BA1F8">
            <w:pPr>
              <w:pStyle w:val="57"/>
              <w:ind w:left="0" w:leftChars="0" w:firstLine="0" w:firstLineChars="0"/>
              <w:jc w:val="both"/>
              <w:rPr>
                <w:rFonts w:hint="eastAsia" w:ascii="宋体" w:hAnsi="宋体" w:eastAsia="宋体" w:cs="宋体"/>
                <w:b w:val="0"/>
                <w:color w:val="000000"/>
                <w:sz w:val="18"/>
                <w:szCs w:val="18"/>
                <w:vertAlign w:val="baseline"/>
              </w:rPr>
            </w:pPr>
          </w:p>
        </w:tc>
      </w:tr>
      <w:tr w14:paraId="38CC2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restart"/>
            <w:tcBorders>
              <w:top w:val="single" w:color="000000" w:sz="4" w:space="0"/>
              <w:left w:val="single" w:color="000000" w:sz="12" w:space="0"/>
              <w:bottom w:val="single" w:color="000000" w:sz="4" w:space="0"/>
              <w:right w:val="single" w:color="000000" w:sz="4" w:space="0"/>
            </w:tcBorders>
            <w:shd w:val="clear" w:color="auto" w:fill="FFFFFF"/>
            <w:vAlign w:val="center"/>
          </w:tcPr>
          <w:p w14:paraId="0EA5F808">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3</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33C35A7">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裂缝</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A9B4E7">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出现结构性裂缝</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D4D11B">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1</w:t>
            </w:r>
            <w:r>
              <w:rPr>
                <w:rFonts w:hint="eastAsia" w:ascii="宋体" w:hAnsi="宋体" w:eastAsia="宋体" w:cs="宋体"/>
                <w:b w:val="0"/>
                <w:color w:val="000000"/>
                <w:sz w:val="18"/>
                <w:szCs w:val="18"/>
                <w:vertAlign w:val="baseline"/>
                <w:lang w:val="en-US" w:eastAsia="zh-CN"/>
              </w:rPr>
              <w:t>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6711848A">
            <w:pPr>
              <w:pStyle w:val="57"/>
              <w:ind w:left="0" w:leftChars="0" w:firstLine="0" w:firstLineChars="0"/>
              <w:jc w:val="both"/>
              <w:rPr>
                <w:rFonts w:hint="eastAsia" w:ascii="宋体" w:hAnsi="宋体" w:eastAsia="宋体" w:cs="宋体"/>
                <w:b w:val="0"/>
                <w:color w:val="000000"/>
                <w:sz w:val="18"/>
                <w:szCs w:val="18"/>
                <w:vertAlign w:val="baseline"/>
              </w:rPr>
            </w:pPr>
          </w:p>
        </w:tc>
      </w:tr>
      <w:tr w14:paraId="0E448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continue"/>
            <w:tcBorders>
              <w:top w:val="single" w:color="000000" w:sz="4" w:space="0"/>
              <w:left w:val="single" w:color="000000" w:sz="12" w:space="0"/>
              <w:bottom w:val="single" w:color="000000" w:sz="4" w:space="0"/>
              <w:right w:val="single" w:color="000000" w:sz="4" w:space="0"/>
            </w:tcBorders>
            <w:shd w:val="clear" w:color="auto" w:fill="FFFFFF"/>
            <w:vAlign w:val="center"/>
          </w:tcPr>
          <w:p w14:paraId="152345CA">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D190CB0">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12497F">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结构性裂缝超过规范限值或发展加速</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79CB49">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2</w:t>
            </w:r>
            <w:r>
              <w:rPr>
                <w:rFonts w:hint="eastAsia" w:ascii="宋体" w:hAnsi="宋体" w:eastAsia="宋体" w:cs="宋体"/>
                <w:b w:val="0"/>
                <w:color w:val="000000"/>
                <w:sz w:val="18"/>
                <w:szCs w:val="18"/>
                <w:vertAlign w:val="baseline"/>
                <w:lang w:val="en-US" w:eastAsia="zh-CN"/>
              </w:rPr>
              <w:t>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4B24885F">
            <w:pPr>
              <w:pStyle w:val="57"/>
              <w:ind w:left="0" w:leftChars="0" w:firstLine="0" w:firstLineChars="0"/>
              <w:jc w:val="both"/>
              <w:rPr>
                <w:rFonts w:hint="eastAsia" w:ascii="宋体" w:hAnsi="宋体" w:eastAsia="宋体" w:cs="宋体"/>
                <w:b w:val="0"/>
                <w:color w:val="000000"/>
                <w:sz w:val="18"/>
                <w:szCs w:val="18"/>
                <w:vertAlign w:val="baseline"/>
              </w:rPr>
            </w:pPr>
          </w:p>
        </w:tc>
      </w:tr>
      <w:tr w14:paraId="1982C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restart"/>
            <w:tcBorders>
              <w:top w:val="single" w:color="000000" w:sz="4" w:space="0"/>
              <w:left w:val="single" w:color="000000" w:sz="12" w:space="0"/>
              <w:right w:val="single" w:color="000000" w:sz="4" w:space="0"/>
            </w:tcBorders>
            <w:shd w:val="clear" w:color="auto" w:fill="FFFFFF"/>
            <w:vAlign w:val="center"/>
          </w:tcPr>
          <w:p w14:paraId="09C4EE06">
            <w:pPr>
              <w:pStyle w:val="57"/>
              <w:ind w:left="0" w:leftChars="0" w:firstLine="0" w:firstLineChars="0"/>
              <w:jc w:val="center"/>
              <w:rPr>
                <w:rFonts w:hint="default"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4</w:t>
            </w:r>
          </w:p>
        </w:tc>
        <w:tc>
          <w:tcPr>
            <w:tcW w:w="2045" w:type="dxa"/>
            <w:vMerge w:val="restart"/>
            <w:tcBorders>
              <w:top w:val="single" w:color="000000" w:sz="4" w:space="0"/>
              <w:left w:val="single" w:color="000000" w:sz="4" w:space="0"/>
              <w:right w:val="single" w:color="000000" w:sz="4" w:space="0"/>
            </w:tcBorders>
            <w:shd w:val="clear" w:color="auto" w:fill="FFFFFF"/>
            <w:vAlign w:val="center"/>
          </w:tcPr>
          <w:p w14:paraId="49EDFA5F">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cs="宋体"/>
                <w:color w:val="000000"/>
                <w:kern w:val="0"/>
                <w:sz w:val="18"/>
                <w:szCs w:val="18"/>
                <w:lang w:bidi="ar"/>
              </w:rPr>
              <w:t>墙后土压力</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8609EC">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达到 0.8</w:t>
            </w:r>
            <w:r>
              <w:rPr>
                <w:rFonts w:hint="eastAsia" w:ascii="宋体" w:hAnsi="宋体" w:cs="宋体"/>
                <w:b w:val="0"/>
                <w:color w:val="000000"/>
                <w:kern w:val="0"/>
                <w:sz w:val="18"/>
                <w:szCs w:val="18"/>
                <w:lang w:val="en-US" w:eastAsia="zh-CN" w:bidi="ar"/>
              </w:rPr>
              <w:t>5</w:t>
            </w:r>
            <w:r>
              <w:rPr>
                <w:rFonts w:hint="eastAsia" w:ascii="宋体" w:hAnsi="宋体" w:eastAsia="宋体" w:cs="宋体"/>
                <w:b w:val="0"/>
                <w:color w:val="000000"/>
                <w:kern w:val="0"/>
                <w:sz w:val="18"/>
                <w:szCs w:val="18"/>
                <w:lang w:val="en-US" w:eastAsia="zh-CN" w:bidi="ar"/>
              </w:rPr>
              <w:t xml:space="preserve"> 倍设计值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F553E7">
            <w:pPr>
              <w:pStyle w:val="57"/>
              <w:ind w:left="0" w:leftChars="0" w:firstLine="0" w:firstLineChars="0"/>
              <w:jc w:val="center"/>
              <w:rPr>
                <w:rFonts w:hint="default"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1级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3DC22FB7">
            <w:pPr>
              <w:pStyle w:val="57"/>
              <w:ind w:left="0" w:leftChars="0" w:firstLine="0" w:firstLineChars="0"/>
              <w:jc w:val="both"/>
              <w:rPr>
                <w:rFonts w:hint="eastAsia" w:ascii="宋体" w:hAnsi="宋体" w:eastAsia="宋体" w:cs="宋体"/>
                <w:b w:val="0"/>
                <w:color w:val="000000"/>
                <w:sz w:val="18"/>
                <w:szCs w:val="18"/>
                <w:vertAlign w:val="baseline"/>
              </w:rPr>
            </w:pPr>
          </w:p>
        </w:tc>
      </w:tr>
      <w:tr w14:paraId="57490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continue"/>
            <w:tcBorders>
              <w:left w:val="single" w:color="000000" w:sz="12" w:space="0"/>
              <w:right w:val="single" w:color="000000" w:sz="4" w:space="0"/>
            </w:tcBorders>
            <w:shd w:val="clear" w:color="auto" w:fill="FFFFFF"/>
            <w:vAlign w:val="center"/>
          </w:tcPr>
          <w:p w14:paraId="65BF83D1">
            <w:pPr>
              <w:pStyle w:val="57"/>
              <w:ind w:left="0" w:leftChars="0" w:firstLine="0" w:firstLineChars="0"/>
              <w:jc w:val="center"/>
              <w:rPr>
                <w:rFonts w:hint="eastAsia" w:hAnsi="宋体" w:cs="宋体"/>
                <w:b w:val="0"/>
                <w:color w:val="000000"/>
                <w:sz w:val="18"/>
                <w:szCs w:val="18"/>
                <w:vertAlign w:val="baseline"/>
                <w:lang w:val="en-US" w:eastAsia="zh-CN"/>
              </w:rPr>
            </w:pPr>
          </w:p>
        </w:tc>
        <w:tc>
          <w:tcPr>
            <w:tcW w:w="2045" w:type="dxa"/>
            <w:vMerge w:val="continue"/>
            <w:tcBorders>
              <w:left w:val="single" w:color="000000" w:sz="4" w:space="0"/>
              <w:right w:val="single" w:color="000000" w:sz="4" w:space="0"/>
            </w:tcBorders>
            <w:shd w:val="clear" w:color="auto" w:fill="FFFFFF"/>
            <w:vAlign w:val="center"/>
          </w:tcPr>
          <w:p w14:paraId="7500975C">
            <w:pPr>
              <w:keepNext w:val="0"/>
              <w:keepLines w:val="0"/>
              <w:widowControl/>
              <w:suppressLineNumbers w:val="0"/>
              <w:jc w:val="left"/>
              <w:rPr>
                <w:rFonts w:hint="eastAsia" w:ascii="宋体" w:hAnsi="宋体" w:cs="宋体"/>
                <w:color w:val="000000"/>
                <w:kern w:val="0"/>
                <w:sz w:val="18"/>
                <w:szCs w:val="18"/>
                <w:lang w:bidi="ar"/>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AFA87B">
            <w:pPr>
              <w:keepNext w:val="0"/>
              <w:keepLines w:val="0"/>
              <w:widowControl/>
              <w:suppressLineNumbers w:val="0"/>
              <w:jc w:val="left"/>
              <w:rPr>
                <w:rFonts w:hint="default" w:ascii="宋体" w:hAnsi="宋体" w:eastAsia="宋体" w:cs="宋体"/>
                <w:b w:val="0"/>
                <w:color w:val="000000"/>
                <w:kern w:val="0"/>
                <w:sz w:val="18"/>
                <w:szCs w:val="18"/>
                <w:lang w:val="en-US" w:eastAsia="zh-CN" w:bidi="ar"/>
              </w:rPr>
            </w:pPr>
            <w:r>
              <w:rPr>
                <w:rFonts w:hint="eastAsia" w:ascii="宋体" w:hAnsi="宋体" w:cs="宋体"/>
                <w:b w:val="0"/>
                <w:color w:val="000000"/>
                <w:kern w:val="0"/>
                <w:sz w:val="18"/>
                <w:szCs w:val="18"/>
                <w:lang w:val="en-US" w:eastAsia="zh-CN" w:bidi="ar"/>
              </w:rPr>
              <w:t>达到设计值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EFEC9F">
            <w:pPr>
              <w:pStyle w:val="57"/>
              <w:ind w:left="0" w:leftChars="0" w:firstLine="0" w:firstLineChars="0"/>
              <w:jc w:val="center"/>
              <w:rPr>
                <w:rFonts w:hint="default"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2级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45CF48C0">
            <w:pPr>
              <w:pStyle w:val="57"/>
              <w:ind w:left="0" w:leftChars="0" w:firstLine="0" w:firstLineChars="0"/>
              <w:jc w:val="both"/>
              <w:rPr>
                <w:rFonts w:hint="eastAsia" w:ascii="宋体" w:hAnsi="宋体" w:eastAsia="宋体" w:cs="宋体"/>
                <w:b w:val="0"/>
                <w:color w:val="000000"/>
                <w:sz w:val="18"/>
                <w:szCs w:val="18"/>
                <w:vertAlign w:val="baseline"/>
              </w:rPr>
            </w:pPr>
          </w:p>
        </w:tc>
      </w:tr>
      <w:tr w14:paraId="71E35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restart"/>
            <w:tcBorders>
              <w:left w:val="single" w:color="000000" w:sz="12" w:space="0"/>
              <w:right w:val="single" w:color="000000" w:sz="4" w:space="0"/>
            </w:tcBorders>
            <w:shd w:val="clear" w:color="auto" w:fill="FFFFFF"/>
            <w:vAlign w:val="center"/>
          </w:tcPr>
          <w:p w14:paraId="27421080">
            <w:pPr>
              <w:pStyle w:val="57"/>
              <w:ind w:left="0" w:leftChars="0" w:firstLine="0" w:firstLineChars="0"/>
              <w:jc w:val="center"/>
              <w:rPr>
                <w:rFonts w:hint="default" w:hAnsi="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5</w:t>
            </w:r>
          </w:p>
        </w:tc>
        <w:tc>
          <w:tcPr>
            <w:tcW w:w="2045" w:type="dxa"/>
            <w:vMerge w:val="restart"/>
            <w:tcBorders>
              <w:left w:val="single" w:color="000000" w:sz="4" w:space="0"/>
              <w:right w:val="single" w:color="000000" w:sz="4" w:space="0"/>
            </w:tcBorders>
            <w:shd w:val="clear" w:color="auto" w:fill="FFFFFF"/>
            <w:vAlign w:val="center"/>
          </w:tcPr>
          <w:p w14:paraId="133285A1">
            <w:pPr>
              <w:keepNext w:val="0"/>
              <w:keepLines w:val="0"/>
              <w:widowControl/>
              <w:suppressLineNumbers w:val="0"/>
              <w:jc w:val="left"/>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基底孔隙水压力</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B5F6FE">
            <w:pPr>
              <w:keepNext w:val="0"/>
              <w:keepLines w:val="0"/>
              <w:widowControl/>
              <w:suppressLineNumbers w:val="0"/>
              <w:jc w:val="left"/>
              <w:rPr>
                <w:rFonts w:hint="eastAsia" w:ascii="宋体" w:hAnsi="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达到 0.8</w:t>
            </w:r>
            <w:r>
              <w:rPr>
                <w:rFonts w:hint="eastAsia" w:ascii="宋体" w:hAnsi="宋体" w:cs="宋体"/>
                <w:b w:val="0"/>
                <w:color w:val="000000"/>
                <w:kern w:val="0"/>
                <w:sz w:val="18"/>
                <w:szCs w:val="18"/>
                <w:lang w:val="en-US" w:eastAsia="zh-CN" w:bidi="ar"/>
              </w:rPr>
              <w:t>5</w:t>
            </w:r>
            <w:r>
              <w:rPr>
                <w:rFonts w:hint="eastAsia" w:ascii="宋体" w:hAnsi="宋体" w:eastAsia="宋体" w:cs="宋体"/>
                <w:b w:val="0"/>
                <w:color w:val="000000"/>
                <w:kern w:val="0"/>
                <w:sz w:val="18"/>
                <w:szCs w:val="18"/>
                <w:lang w:val="en-US" w:eastAsia="zh-CN" w:bidi="ar"/>
              </w:rPr>
              <w:t xml:space="preserve"> 倍设计值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2E5482">
            <w:pPr>
              <w:pStyle w:val="57"/>
              <w:ind w:left="0" w:leftChars="0" w:firstLine="0" w:firstLineChars="0"/>
              <w:jc w:val="center"/>
              <w:rPr>
                <w:rFonts w:hint="eastAsia" w:hAnsi="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1级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7B5224DC">
            <w:pPr>
              <w:pStyle w:val="57"/>
              <w:ind w:left="0" w:leftChars="0" w:firstLine="0" w:firstLineChars="0"/>
              <w:jc w:val="both"/>
              <w:rPr>
                <w:rFonts w:hint="eastAsia" w:ascii="宋体" w:hAnsi="宋体" w:eastAsia="宋体" w:cs="宋体"/>
                <w:b w:val="0"/>
                <w:color w:val="000000"/>
                <w:sz w:val="18"/>
                <w:szCs w:val="18"/>
                <w:vertAlign w:val="baseline"/>
              </w:rPr>
            </w:pPr>
          </w:p>
        </w:tc>
      </w:tr>
      <w:tr w14:paraId="62DD2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continue"/>
            <w:tcBorders>
              <w:left w:val="single" w:color="000000" w:sz="12" w:space="0"/>
              <w:right w:val="single" w:color="000000" w:sz="4" w:space="0"/>
            </w:tcBorders>
            <w:shd w:val="clear" w:color="auto" w:fill="FFFFFF"/>
            <w:vAlign w:val="center"/>
          </w:tcPr>
          <w:p w14:paraId="3C92CB96">
            <w:pPr>
              <w:pStyle w:val="57"/>
              <w:ind w:left="0" w:leftChars="0" w:firstLine="0" w:firstLineChars="0"/>
              <w:jc w:val="center"/>
              <w:rPr>
                <w:rFonts w:hint="eastAsia" w:hAnsi="宋体" w:cs="宋体"/>
                <w:b w:val="0"/>
                <w:color w:val="000000"/>
                <w:sz w:val="18"/>
                <w:szCs w:val="18"/>
                <w:vertAlign w:val="baseline"/>
                <w:lang w:val="en-US" w:eastAsia="zh-CN"/>
              </w:rPr>
            </w:pPr>
          </w:p>
        </w:tc>
        <w:tc>
          <w:tcPr>
            <w:tcW w:w="2045" w:type="dxa"/>
            <w:vMerge w:val="continue"/>
            <w:tcBorders>
              <w:left w:val="single" w:color="000000" w:sz="4" w:space="0"/>
              <w:right w:val="single" w:color="000000" w:sz="4" w:space="0"/>
            </w:tcBorders>
            <w:shd w:val="clear" w:color="auto" w:fill="FFFFFF"/>
            <w:vAlign w:val="center"/>
          </w:tcPr>
          <w:p w14:paraId="7B24C2FB">
            <w:pPr>
              <w:keepNext w:val="0"/>
              <w:keepLines w:val="0"/>
              <w:widowControl/>
              <w:suppressLineNumbers w:val="0"/>
              <w:jc w:val="left"/>
              <w:rPr>
                <w:rFonts w:hint="eastAsia" w:ascii="宋体" w:hAnsi="宋体" w:cs="宋体"/>
                <w:color w:val="000000"/>
                <w:kern w:val="0"/>
                <w:sz w:val="18"/>
                <w:szCs w:val="18"/>
                <w:lang w:bidi="ar"/>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54E355">
            <w:pPr>
              <w:keepNext w:val="0"/>
              <w:keepLines w:val="0"/>
              <w:widowControl/>
              <w:suppressLineNumbers w:val="0"/>
              <w:jc w:val="left"/>
              <w:rPr>
                <w:rFonts w:hint="eastAsia" w:ascii="宋体" w:hAnsi="宋体" w:cs="宋体"/>
                <w:b w:val="0"/>
                <w:color w:val="000000"/>
                <w:kern w:val="0"/>
                <w:sz w:val="18"/>
                <w:szCs w:val="18"/>
                <w:lang w:val="en-US" w:eastAsia="zh-CN" w:bidi="ar"/>
              </w:rPr>
            </w:pPr>
            <w:r>
              <w:rPr>
                <w:rFonts w:hint="eastAsia" w:ascii="宋体" w:hAnsi="宋体" w:cs="宋体"/>
                <w:b w:val="0"/>
                <w:color w:val="000000"/>
                <w:kern w:val="0"/>
                <w:sz w:val="18"/>
                <w:szCs w:val="18"/>
                <w:lang w:val="en-US" w:eastAsia="zh-CN" w:bidi="ar"/>
              </w:rPr>
              <w:t>达到设计值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683FB3">
            <w:pPr>
              <w:pStyle w:val="57"/>
              <w:ind w:left="0" w:leftChars="0" w:firstLine="0" w:firstLineChars="0"/>
              <w:jc w:val="center"/>
              <w:rPr>
                <w:rFonts w:hint="eastAsia" w:hAnsi="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2级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211B00CB">
            <w:pPr>
              <w:pStyle w:val="57"/>
              <w:ind w:left="0" w:leftChars="0" w:firstLine="0" w:firstLineChars="0"/>
              <w:jc w:val="both"/>
              <w:rPr>
                <w:rFonts w:hint="eastAsia" w:ascii="宋体" w:hAnsi="宋体" w:eastAsia="宋体" w:cs="宋体"/>
                <w:b w:val="0"/>
                <w:color w:val="000000"/>
                <w:sz w:val="18"/>
                <w:szCs w:val="18"/>
                <w:vertAlign w:val="baseline"/>
              </w:rPr>
            </w:pPr>
          </w:p>
        </w:tc>
      </w:tr>
      <w:tr w14:paraId="4A0DE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restart"/>
            <w:tcBorders>
              <w:left w:val="single" w:color="000000" w:sz="12" w:space="0"/>
              <w:right w:val="single" w:color="000000" w:sz="4" w:space="0"/>
            </w:tcBorders>
            <w:shd w:val="clear" w:color="auto" w:fill="FFFFFF"/>
            <w:vAlign w:val="center"/>
          </w:tcPr>
          <w:p w14:paraId="509704B2">
            <w:pPr>
              <w:pStyle w:val="57"/>
              <w:ind w:left="0" w:leftChars="0" w:firstLine="0" w:firstLineChars="0"/>
              <w:jc w:val="center"/>
              <w:rPr>
                <w:rFonts w:hint="default" w:hAnsi="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6</w:t>
            </w:r>
          </w:p>
        </w:tc>
        <w:tc>
          <w:tcPr>
            <w:tcW w:w="2045" w:type="dxa"/>
            <w:vMerge w:val="restart"/>
            <w:tcBorders>
              <w:left w:val="single" w:color="000000" w:sz="4" w:space="0"/>
              <w:right w:val="single" w:color="000000" w:sz="4" w:space="0"/>
            </w:tcBorders>
            <w:shd w:val="clear" w:color="auto" w:fill="FFFFFF"/>
            <w:vAlign w:val="center"/>
          </w:tcPr>
          <w:p w14:paraId="5277C58A">
            <w:pPr>
              <w:keepNext w:val="0"/>
              <w:keepLines w:val="0"/>
              <w:widowControl/>
              <w:suppressLineNumbers w:val="0"/>
              <w:jc w:val="left"/>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墙后地下水位</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B37405">
            <w:pPr>
              <w:keepNext w:val="0"/>
              <w:keepLines w:val="0"/>
              <w:widowControl/>
              <w:suppressLineNumbers w:val="0"/>
              <w:jc w:val="left"/>
              <w:rPr>
                <w:rFonts w:hint="eastAsia" w:ascii="宋体" w:hAnsi="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达到 0.8</w:t>
            </w:r>
            <w:r>
              <w:rPr>
                <w:rFonts w:hint="eastAsia" w:ascii="宋体" w:hAnsi="宋体" w:cs="宋体"/>
                <w:b w:val="0"/>
                <w:color w:val="000000"/>
                <w:kern w:val="0"/>
                <w:sz w:val="18"/>
                <w:szCs w:val="18"/>
                <w:lang w:val="en-US" w:eastAsia="zh-CN" w:bidi="ar"/>
              </w:rPr>
              <w:t>5</w:t>
            </w:r>
            <w:r>
              <w:rPr>
                <w:rFonts w:hint="eastAsia" w:ascii="宋体" w:hAnsi="宋体" w:eastAsia="宋体" w:cs="宋体"/>
                <w:b w:val="0"/>
                <w:color w:val="000000"/>
                <w:kern w:val="0"/>
                <w:sz w:val="18"/>
                <w:szCs w:val="18"/>
                <w:lang w:val="en-US" w:eastAsia="zh-CN" w:bidi="ar"/>
              </w:rPr>
              <w:t xml:space="preserve"> 倍设计值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1274D1">
            <w:pPr>
              <w:pStyle w:val="57"/>
              <w:ind w:left="0" w:leftChars="0" w:firstLine="0" w:firstLineChars="0"/>
              <w:jc w:val="center"/>
              <w:rPr>
                <w:rFonts w:hint="eastAsia" w:hAnsi="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1级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02977DF6">
            <w:pPr>
              <w:pStyle w:val="57"/>
              <w:ind w:left="0" w:leftChars="0" w:firstLine="0" w:firstLineChars="0"/>
              <w:jc w:val="both"/>
              <w:rPr>
                <w:rFonts w:hint="eastAsia" w:ascii="宋体" w:hAnsi="宋体" w:eastAsia="宋体" w:cs="宋体"/>
                <w:b w:val="0"/>
                <w:color w:val="000000"/>
                <w:sz w:val="18"/>
                <w:szCs w:val="18"/>
                <w:vertAlign w:val="baseline"/>
              </w:rPr>
            </w:pPr>
          </w:p>
        </w:tc>
      </w:tr>
      <w:tr w14:paraId="557B6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continue"/>
            <w:tcBorders>
              <w:left w:val="single" w:color="000000" w:sz="12" w:space="0"/>
              <w:right w:val="single" w:color="000000" w:sz="4" w:space="0"/>
            </w:tcBorders>
            <w:shd w:val="clear" w:color="auto" w:fill="FFFFFF"/>
            <w:vAlign w:val="center"/>
          </w:tcPr>
          <w:p w14:paraId="184E26C0">
            <w:pPr>
              <w:pStyle w:val="57"/>
              <w:ind w:left="0" w:leftChars="0" w:firstLine="0" w:firstLineChars="0"/>
              <w:jc w:val="center"/>
              <w:rPr>
                <w:rFonts w:hint="eastAsia" w:hAnsi="宋体" w:cs="宋体"/>
                <w:b w:val="0"/>
                <w:color w:val="000000"/>
                <w:sz w:val="18"/>
                <w:szCs w:val="18"/>
                <w:vertAlign w:val="baseline"/>
                <w:lang w:val="en-US" w:eastAsia="zh-CN"/>
              </w:rPr>
            </w:pPr>
          </w:p>
        </w:tc>
        <w:tc>
          <w:tcPr>
            <w:tcW w:w="2045" w:type="dxa"/>
            <w:vMerge w:val="continue"/>
            <w:tcBorders>
              <w:left w:val="single" w:color="000000" w:sz="4" w:space="0"/>
              <w:right w:val="single" w:color="000000" w:sz="4" w:space="0"/>
            </w:tcBorders>
            <w:shd w:val="clear" w:color="auto" w:fill="FFFFFF"/>
            <w:vAlign w:val="center"/>
          </w:tcPr>
          <w:p w14:paraId="06176947">
            <w:pPr>
              <w:keepNext w:val="0"/>
              <w:keepLines w:val="0"/>
              <w:widowControl/>
              <w:suppressLineNumbers w:val="0"/>
              <w:jc w:val="left"/>
              <w:rPr>
                <w:rFonts w:hint="eastAsia" w:ascii="宋体" w:hAnsi="宋体" w:cs="宋体"/>
                <w:color w:val="000000"/>
                <w:kern w:val="0"/>
                <w:sz w:val="18"/>
                <w:szCs w:val="18"/>
                <w:lang w:bidi="ar"/>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C2538B">
            <w:pPr>
              <w:keepNext w:val="0"/>
              <w:keepLines w:val="0"/>
              <w:widowControl/>
              <w:suppressLineNumbers w:val="0"/>
              <w:jc w:val="left"/>
              <w:rPr>
                <w:rFonts w:hint="eastAsia" w:ascii="宋体" w:hAnsi="宋体" w:cs="宋体"/>
                <w:b w:val="0"/>
                <w:color w:val="000000"/>
                <w:kern w:val="0"/>
                <w:sz w:val="18"/>
                <w:szCs w:val="18"/>
                <w:lang w:val="en-US" w:eastAsia="zh-CN" w:bidi="ar"/>
              </w:rPr>
            </w:pPr>
            <w:r>
              <w:rPr>
                <w:rFonts w:hint="eastAsia" w:ascii="宋体" w:hAnsi="宋体" w:cs="宋体"/>
                <w:b w:val="0"/>
                <w:color w:val="000000"/>
                <w:kern w:val="0"/>
                <w:sz w:val="18"/>
                <w:szCs w:val="18"/>
                <w:lang w:val="en-US" w:eastAsia="zh-CN" w:bidi="ar"/>
              </w:rPr>
              <w:t>达到设计值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EBF0AB">
            <w:pPr>
              <w:pStyle w:val="57"/>
              <w:ind w:left="0" w:leftChars="0" w:firstLine="0" w:firstLineChars="0"/>
              <w:jc w:val="center"/>
              <w:rPr>
                <w:rFonts w:hint="eastAsia" w:hAnsi="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2级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7F22F87C">
            <w:pPr>
              <w:pStyle w:val="57"/>
              <w:ind w:left="0" w:leftChars="0" w:firstLine="0" w:firstLineChars="0"/>
              <w:jc w:val="both"/>
              <w:rPr>
                <w:rFonts w:hint="eastAsia" w:ascii="宋体" w:hAnsi="宋体" w:eastAsia="宋体" w:cs="宋体"/>
                <w:b w:val="0"/>
                <w:color w:val="000000"/>
                <w:sz w:val="18"/>
                <w:szCs w:val="18"/>
                <w:vertAlign w:val="baseline"/>
              </w:rPr>
            </w:pPr>
          </w:p>
        </w:tc>
      </w:tr>
      <w:tr w14:paraId="52D8F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restart"/>
            <w:tcBorders>
              <w:left w:val="single" w:color="000000" w:sz="12" w:space="0"/>
              <w:right w:val="single" w:color="000000" w:sz="4" w:space="0"/>
            </w:tcBorders>
            <w:shd w:val="clear" w:color="auto" w:fill="FFFFFF"/>
            <w:vAlign w:val="center"/>
          </w:tcPr>
          <w:p w14:paraId="7D01FC38">
            <w:pPr>
              <w:pStyle w:val="57"/>
              <w:ind w:left="0" w:leftChars="0" w:firstLine="0" w:firstLineChars="0"/>
              <w:jc w:val="center"/>
              <w:rPr>
                <w:rFonts w:hint="default" w:hAnsi="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7</w:t>
            </w:r>
          </w:p>
        </w:tc>
        <w:tc>
          <w:tcPr>
            <w:tcW w:w="2045" w:type="dxa"/>
            <w:vMerge w:val="restart"/>
            <w:tcBorders>
              <w:left w:val="single" w:color="000000" w:sz="4" w:space="0"/>
              <w:right w:val="single" w:color="000000" w:sz="4" w:space="0"/>
            </w:tcBorders>
            <w:shd w:val="clear" w:color="auto" w:fill="FFFFFF"/>
            <w:vAlign w:val="center"/>
          </w:tcPr>
          <w:p w14:paraId="76448A90">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水压力</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743C58">
            <w:pPr>
              <w:keepNext w:val="0"/>
              <w:keepLines w:val="0"/>
              <w:widowControl/>
              <w:suppressLineNumbers w:val="0"/>
              <w:jc w:val="left"/>
              <w:rPr>
                <w:rFonts w:hint="eastAsia" w:ascii="宋体" w:hAnsi="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达到 0.8</w:t>
            </w:r>
            <w:r>
              <w:rPr>
                <w:rFonts w:hint="eastAsia" w:ascii="宋体" w:hAnsi="宋体" w:cs="宋体"/>
                <w:b w:val="0"/>
                <w:color w:val="000000"/>
                <w:kern w:val="0"/>
                <w:sz w:val="18"/>
                <w:szCs w:val="18"/>
                <w:lang w:val="en-US" w:eastAsia="zh-CN" w:bidi="ar"/>
              </w:rPr>
              <w:t>5</w:t>
            </w:r>
            <w:r>
              <w:rPr>
                <w:rFonts w:hint="eastAsia" w:ascii="宋体" w:hAnsi="宋体" w:eastAsia="宋体" w:cs="宋体"/>
                <w:b w:val="0"/>
                <w:color w:val="000000"/>
                <w:kern w:val="0"/>
                <w:sz w:val="18"/>
                <w:szCs w:val="18"/>
                <w:lang w:val="en-US" w:eastAsia="zh-CN" w:bidi="ar"/>
              </w:rPr>
              <w:t xml:space="preserve"> 倍设计值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F294CB">
            <w:pPr>
              <w:pStyle w:val="57"/>
              <w:ind w:left="0" w:leftChars="0" w:firstLine="0" w:firstLineChars="0"/>
              <w:jc w:val="center"/>
              <w:rPr>
                <w:rFonts w:hint="eastAsia" w:hAnsi="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1级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1D8FA67E">
            <w:pPr>
              <w:pStyle w:val="57"/>
              <w:ind w:left="0" w:leftChars="0" w:firstLine="0" w:firstLineChars="0"/>
              <w:jc w:val="both"/>
              <w:rPr>
                <w:rFonts w:hint="eastAsia" w:ascii="宋体" w:hAnsi="宋体" w:eastAsia="宋体" w:cs="宋体"/>
                <w:b w:val="0"/>
                <w:color w:val="000000"/>
                <w:sz w:val="18"/>
                <w:szCs w:val="18"/>
                <w:vertAlign w:val="baseline"/>
              </w:rPr>
            </w:pPr>
          </w:p>
        </w:tc>
      </w:tr>
      <w:tr w14:paraId="52469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continue"/>
            <w:tcBorders>
              <w:left w:val="single" w:color="000000" w:sz="12" w:space="0"/>
              <w:right w:val="single" w:color="000000" w:sz="4" w:space="0"/>
            </w:tcBorders>
            <w:shd w:val="clear" w:color="auto" w:fill="FFFFFF"/>
            <w:vAlign w:val="center"/>
          </w:tcPr>
          <w:p w14:paraId="355D5285">
            <w:pPr>
              <w:pStyle w:val="57"/>
              <w:ind w:left="0" w:leftChars="0" w:firstLine="0" w:firstLineChars="0"/>
              <w:jc w:val="center"/>
              <w:rPr>
                <w:rFonts w:hint="eastAsia" w:hAnsi="宋体" w:cs="宋体"/>
                <w:b w:val="0"/>
                <w:color w:val="000000"/>
                <w:sz w:val="18"/>
                <w:szCs w:val="18"/>
                <w:vertAlign w:val="baseline"/>
                <w:lang w:val="en-US" w:eastAsia="zh-CN"/>
              </w:rPr>
            </w:pPr>
          </w:p>
        </w:tc>
        <w:tc>
          <w:tcPr>
            <w:tcW w:w="2045" w:type="dxa"/>
            <w:vMerge w:val="continue"/>
            <w:tcBorders>
              <w:left w:val="single" w:color="000000" w:sz="4" w:space="0"/>
              <w:right w:val="single" w:color="000000" w:sz="4" w:space="0"/>
            </w:tcBorders>
            <w:shd w:val="clear" w:color="auto" w:fill="FFFFFF"/>
            <w:vAlign w:val="center"/>
          </w:tcPr>
          <w:p w14:paraId="7C9E43F3">
            <w:pPr>
              <w:keepNext w:val="0"/>
              <w:keepLines w:val="0"/>
              <w:widowControl/>
              <w:suppressLineNumbers w:val="0"/>
              <w:jc w:val="left"/>
              <w:rPr>
                <w:rFonts w:hint="eastAsia" w:ascii="宋体" w:hAnsi="宋体" w:cs="宋体"/>
                <w:color w:val="000000"/>
                <w:kern w:val="0"/>
                <w:sz w:val="18"/>
                <w:szCs w:val="18"/>
                <w:lang w:bidi="ar"/>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4FF47A">
            <w:pPr>
              <w:keepNext w:val="0"/>
              <w:keepLines w:val="0"/>
              <w:widowControl/>
              <w:suppressLineNumbers w:val="0"/>
              <w:jc w:val="left"/>
              <w:rPr>
                <w:rFonts w:hint="eastAsia" w:ascii="宋体" w:hAnsi="宋体" w:cs="宋体"/>
                <w:b w:val="0"/>
                <w:color w:val="000000"/>
                <w:kern w:val="0"/>
                <w:sz w:val="18"/>
                <w:szCs w:val="18"/>
                <w:lang w:val="en-US" w:eastAsia="zh-CN" w:bidi="ar"/>
              </w:rPr>
            </w:pPr>
            <w:r>
              <w:rPr>
                <w:rFonts w:hint="eastAsia" w:ascii="宋体" w:hAnsi="宋体" w:cs="宋体"/>
                <w:b w:val="0"/>
                <w:color w:val="000000"/>
                <w:kern w:val="0"/>
                <w:sz w:val="18"/>
                <w:szCs w:val="18"/>
                <w:lang w:val="en-US" w:eastAsia="zh-CN" w:bidi="ar"/>
              </w:rPr>
              <w:t>达到设计值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DD5E1A">
            <w:pPr>
              <w:pStyle w:val="57"/>
              <w:ind w:left="0" w:leftChars="0" w:firstLine="0" w:firstLineChars="0"/>
              <w:jc w:val="center"/>
              <w:rPr>
                <w:rFonts w:hint="eastAsia" w:hAnsi="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2级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0CA3D319">
            <w:pPr>
              <w:pStyle w:val="57"/>
              <w:ind w:left="0" w:leftChars="0" w:firstLine="0" w:firstLineChars="0"/>
              <w:jc w:val="both"/>
              <w:rPr>
                <w:rFonts w:hint="eastAsia" w:ascii="宋体" w:hAnsi="宋体" w:eastAsia="宋体" w:cs="宋体"/>
                <w:b w:val="0"/>
                <w:color w:val="000000"/>
                <w:sz w:val="18"/>
                <w:szCs w:val="18"/>
                <w:vertAlign w:val="baseline"/>
              </w:rPr>
            </w:pPr>
          </w:p>
        </w:tc>
      </w:tr>
      <w:tr w14:paraId="606C9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restart"/>
            <w:tcBorders>
              <w:left w:val="single" w:color="000000" w:sz="12" w:space="0"/>
              <w:right w:val="single" w:color="000000" w:sz="4" w:space="0"/>
            </w:tcBorders>
            <w:shd w:val="clear" w:color="auto" w:fill="FFFFFF"/>
            <w:vAlign w:val="center"/>
          </w:tcPr>
          <w:p w14:paraId="62E082F2">
            <w:pPr>
              <w:pStyle w:val="57"/>
              <w:ind w:left="0" w:leftChars="0" w:firstLine="0" w:firstLineChars="0"/>
              <w:jc w:val="center"/>
              <w:rPr>
                <w:rFonts w:hint="default" w:hAnsi="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8</w:t>
            </w:r>
          </w:p>
        </w:tc>
        <w:tc>
          <w:tcPr>
            <w:tcW w:w="2045" w:type="dxa"/>
            <w:vMerge w:val="restart"/>
            <w:tcBorders>
              <w:left w:val="single" w:color="000000" w:sz="4" w:space="0"/>
              <w:right w:val="single" w:color="000000" w:sz="4" w:space="0"/>
            </w:tcBorders>
            <w:shd w:val="clear" w:color="auto" w:fill="FFFFFF"/>
            <w:vAlign w:val="center"/>
          </w:tcPr>
          <w:p w14:paraId="76A12BE9">
            <w:pPr>
              <w:keepNext w:val="0"/>
              <w:keepLines w:val="0"/>
              <w:widowControl/>
              <w:suppressLineNumbers w:val="0"/>
              <w:jc w:val="left"/>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水位、水深、水流速度</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1F81EC">
            <w:pPr>
              <w:pStyle w:val="57"/>
              <w:ind w:left="0" w:leftChars="0" w:firstLine="0" w:firstLineChars="0"/>
              <w:jc w:val="both"/>
              <w:rPr>
                <w:rFonts w:hint="eastAsia" w:ascii="宋体" w:hAnsi="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达到 0.8</w:t>
            </w:r>
            <w:r>
              <w:rPr>
                <w:rFonts w:hint="eastAsia" w:ascii="宋体" w:hAnsi="宋体" w:cs="宋体"/>
                <w:b w:val="0"/>
                <w:color w:val="000000"/>
                <w:kern w:val="0"/>
                <w:sz w:val="18"/>
                <w:szCs w:val="18"/>
                <w:lang w:val="en-US" w:eastAsia="zh-CN" w:bidi="ar"/>
              </w:rPr>
              <w:t>5</w:t>
            </w:r>
            <w:r>
              <w:rPr>
                <w:rFonts w:hint="eastAsia" w:ascii="宋体" w:hAnsi="宋体" w:eastAsia="宋体" w:cs="宋体"/>
                <w:b w:val="0"/>
                <w:color w:val="000000"/>
                <w:kern w:val="0"/>
                <w:sz w:val="18"/>
                <w:szCs w:val="18"/>
                <w:lang w:val="en-US" w:eastAsia="zh-CN" w:bidi="ar"/>
              </w:rPr>
              <w:t xml:space="preserve"> 倍</w:t>
            </w:r>
            <w:r>
              <w:rPr>
                <w:rFonts w:hint="eastAsia" w:hAnsi="宋体" w:cs="宋体"/>
                <w:b w:val="0"/>
                <w:color w:val="000000"/>
                <w:kern w:val="0"/>
                <w:sz w:val="18"/>
                <w:szCs w:val="18"/>
                <w:lang w:val="en-US" w:eastAsia="zh-CN" w:bidi="ar"/>
              </w:rPr>
              <w:t>警戒</w:t>
            </w:r>
            <w:r>
              <w:rPr>
                <w:rFonts w:hint="eastAsia" w:ascii="宋体" w:hAnsi="宋体" w:eastAsia="宋体" w:cs="宋体"/>
                <w:b w:val="0"/>
                <w:color w:val="000000"/>
                <w:kern w:val="0"/>
                <w:sz w:val="18"/>
                <w:szCs w:val="18"/>
                <w:lang w:val="en-US" w:eastAsia="zh-CN" w:bidi="ar"/>
              </w:rPr>
              <w:t>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026429">
            <w:pPr>
              <w:pStyle w:val="57"/>
              <w:ind w:left="0" w:leftChars="0" w:firstLine="0" w:firstLineChars="0"/>
              <w:jc w:val="center"/>
              <w:rPr>
                <w:rFonts w:hint="eastAsia" w:hAnsi="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1级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3559833D">
            <w:pPr>
              <w:pStyle w:val="57"/>
              <w:ind w:left="0" w:leftChars="0" w:firstLine="0" w:firstLineChars="0"/>
              <w:jc w:val="both"/>
              <w:rPr>
                <w:rFonts w:hint="eastAsia" w:ascii="宋体" w:hAnsi="宋体" w:eastAsia="宋体" w:cs="宋体"/>
                <w:b w:val="0"/>
                <w:color w:val="000000"/>
                <w:sz w:val="18"/>
                <w:szCs w:val="18"/>
                <w:vertAlign w:val="baseline"/>
              </w:rPr>
            </w:pPr>
          </w:p>
        </w:tc>
      </w:tr>
      <w:tr w14:paraId="18D40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continue"/>
            <w:tcBorders>
              <w:left w:val="single" w:color="000000" w:sz="12" w:space="0"/>
              <w:right w:val="single" w:color="000000" w:sz="4" w:space="0"/>
            </w:tcBorders>
            <w:shd w:val="clear" w:color="auto" w:fill="FFFFFF"/>
            <w:vAlign w:val="center"/>
          </w:tcPr>
          <w:p w14:paraId="184C9EC8">
            <w:pPr>
              <w:pStyle w:val="57"/>
              <w:ind w:left="0" w:leftChars="0" w:firstLine="0" w:firstLineChars="0"/>
              <w:jc w:val="center"/>
              <w:rPr>
                <w:rFonts w:hint="default" w:hAnsi="宋体" w:cs="宋体"/>
                <w:b w:val="0"/>
                <w:color w:val="000000"/>
                <w:sz w:val="18"/>
                <w:szCs w:val="18"/>
                <w:vertAlign w:val="baseline"/>
                <w:lang w:val="en-US" w:eastAsia="zh-CN"/>
              </w:rPr>
            </w:pPr>
          </w:p>
        </w:tc>
        <w:tc>
          <w:tcPr>
            <w:tcW w:w="2045" w:type="dxa"/>
            <w:vMerge w:val="continue"/>
            <w:tcBorders>
              <w:left w:val="single" w:color="000000" w:sz="4" w:space="0"/>
              <w:right w:val="single" w:color="000000" w:sz="4" w:space="0"/>
            </w:tcBorders>
            <w:shd w:val="clear" w:color="auto" w:fill="FFFFFF"/>
            <w:vAlign w:val="center"/>
          </w:tcPr>
          <w:p w14:paraId="51044B0A">
            <w:pPr>
              <w:keepNext w:val="0"/>
              <w:keepLines w:val="0"/>
              <w:widowControl/>
              <w:suppressLineNumbers w:val="0"/>
              <w:jc w:val="left"/>
              <w:rPr>
                <w:rFonts w:hint="eastAsia" w:ascii="宋体" w:hAnsi="宋体" w:eastAsia="宋体" w:cs="宋体"/>
                <w:color w:val="000000"/>
                <w:kern w:val="0"/>
                <w:sz w:val="18"/>
                <w:szCs w:val="18"/>
                <w:lang w:val="en-US" w:eastAsia="zh-CN" w:bidi="ar"/>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AEBA13">
            <w:pPr>
              <w:pStyle w:val="57"/>
              <w:ind w:left="0" w:leftChars="0" w:firstLine="0" w:firstLineChars="0"/>
              <w:jc w:val="both"/>
              <w:rPr>
                <w:rFonts w:hint="eastAsia" w:ascii="宋体" w:hAnsi="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达到警戒值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410E5A">
            <w:pPr>
              <w:pStyle w:val="57"/>
              <w:ind w:left="0" w:leftChars="0" w:firstLine="0" w:firstLineChars="0"/>
              <w:jc w:val="center"/>
              <w:rPr>
                <w:rFonts w:hint="eastAsia" w:hAnsi="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2级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2F949BB7">
            <w:pPr>
              <w:pStyle w:val="57"/>
              <w:ind w:left="0" w:leftChars="0" w:firstLine="0" w:firstLineChars="0"/>
              <w:jc w:val="both"/>
              <w:rPr>
                <w:rFonts w:hint="eastAsia" w:ascii="宋体" w:hAnsi="宋体" w:eastAsia="宋体" w:cs="宋体"/>
                <w:b w:val="0"/>
                <w:color w:val="000000"/>
                <w:sz w:val="18"/>
                <w:szCs w:val="18"/>
                <w:vertAlign w:val="baseline"/>
              </w:rPr>
            </w:pPr>
          </w:p>
        </w:tc>
      </w:tr>
      <w:tr w14:paraId="5F1A7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restart"/>
            <w:tcBorders>
              <w:left w:val="single" w:color="000000" w:sz="12" w:space="0"/>
              <w:right w:val="single" w:color="000000" w:sz="4" w:space="0"/>
            </w:tcBorders>
            <w:shd w:val="clear" w:color="auto" w:fill="FFFFFF"/>
            <w:vAlign w:val="center"/>
          </w:tcPr>
          <w:p w14:paraId="2B9B3060">
            <w:pPr>
              <w:pStyle w:val="57"/>
              <w:ind w:left="0" w:leftChars="0" w:firstLine="0" w:firstLineChars="0"/>
              <w:jc w:val="center"/>
              <w:rPr>
                <w:rFonts w:hint="default" w:hAnsi="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9</w:t>
            </w:r>
          </w:p>
        </w:tc>
        <w:tc>
          <w:tcPr>
            <w:tcW w:w="2045" w:type="dxa"/>
            <w:vMerge w:val="restart"/>
            <w:tcBorders>
              <w:left w:val="single" w:color="000000" w:sz="4" w:space="0"/>
              <w:right w:val="single" w:color="000000" w:sz="4" w:space="0"/>
            </w:tcBorders>
            <w:shd w:val="clear" w:color="auto" w:fill="FFFFFF"/>
            <w:vAlign w:val="center"/>
          </w:tcPr>
          <w:p w14:paraId="11EABE3F">
            <w:pPr>
              <w:keepNext w:val="0"/>
              <w:keepLines w:val="0"/>
              <w:widowControl/>
              <w:suppressLineNumbers w:val="0"/>
              <w:jc w:val="left"/>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振动加速度</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75D37E">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达到 0.8</w:t>
            </w:r>
            <w:r>
              <w:rPr>
                <w:rFonts w:hint="eastAsia" w:ascii="宋体" w:hAnsi="宋体" w:cs="宋体"/>
                <w:b w:val="0"/>
                <w:color w:val="000000"/>
                <w:kern w:val="0"/>
                <w:sz w:val="18"/>
                <w:szCs w:val="18"/>
                <w:lang w:val="en-US" w:eastAsia="zh-CN" w:bidi="ar"/>
              </w:rPr>
              <w:t>5</w:t>
            </w:r>
            <w:r>
              <w:rPr>
                <w:rFonts w:hint="eastAsia" w:ascii="宋体" w:hAnsi="宋体" w:eastAsia="宋体" w:cs="宋体"/>
                <w:b w:val="0"/>
                <w:color w:val="000000"/>
                <w:kern w:val="0"/>
                <w:sz w:val="18"/>
                <w:szCs w:val="18"/>
                <w:lang w:val="en-US" w:eastAsia="zh-CN" w:bidi="ar"/>
              </w:rPr>
              <w:t xml:space="preserve"> 倍设计值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9DE43D">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2</w:t>
            </w:r>
            <w:r>
              <w:rPr>
                <w:rFonts w:hint="eastAsia" w:ascii="宋体" w:hAnsi="宋体" w:eastAsia="宋体" w:cs="宋体"/>
                <w:b w:val="0"/>
                <w:color w:val="000000"/>
                <w:sz w:val="18"/>
                <w:szCs w:val="18"/>
                <w:vertAlign w:val="baseline"/>
                <w:lang w:val="en-US" w:eastAsia="zh-CN"/>
              </w:rPr>
              <w:t>级</w:t>
            </w:r>
          </w:p>
        </w:tc>
        <w:tc>
          <w:tcPr>
            <w:tcW w:w="1914" w:type="dxa"/>
            <w:vMerge w:val="restart"/>
            <w:tcBorders>
              <w:top w:val="single" w:color="000000" w:sz="4" w:space="0"/>
              <w:left w:val="single" w:color="000000" w:sz="4" w:space="0"/>
              <w:right w:val="single" w:color="000000" w:sz="12" w:space="0"/>
            </w:tcBorders>
            <w:shd w:val="clear" w:color="auto" w:fill="FFFFFF"/>
            <w:vAlign w:val="center"/>
          </w:tcPr>
          <w:p w14:paraId="2A405E40">
            <w:pPr>
              <w:pStyle w:val="57"/>
              <w:ind w:left="0" w:leftChars="0" w:firstLine="0" w:firstLineChars="0"/>
              <w:jc w:val="both"/>
              <w:rPr>
                <w:rFonts w:hint="default" w:ascii="宋体" w:hAnsi="宋体" w:eastAsia="宋体" w:cs="宋体"/>
                <w:b w:val="0"/>
                <w:color w:val="000000"/>
                <w:sz w:val="18"/>
                <w:szCs w:val="18"/>
                <w:vertAlign w:val="baseline"/>
                <w:lang w:val="en-US" w:eastAsia="zh-CN"/>
              </w:rPr>
            </w:pPr>
          </w:p>
        </w:tc>
      </w:tr>
      <w:tr w14:paraId="05A3F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continue"/>
            <w:tcBorders>
              <w:left w:val="single" w:color="000000" w:sz="12" w:space="0"/>
              <w:right w:val="single" w:color="000000" w:sz="4" w:space="0"/>
            </w:tcBorders>
            <w:shd w:val="clear" w:color="auto" w:fill="FFFFFF"/>
            <w:vAlign w:val="center"/>
          </w:tcPr>
          <w:p w14:paraId="34272B6C">
            <w:pPr>
              <w:pStyle w:val="57"/>
              <w:ind w:left="0" w:leftChars="0" w:firstLine="0" w:firstLineChars="0"/>
              <w:jc w:val="center"/>
              <w:rPr>
                <w:rFonts w:hint="default" w:hAnsi="宋体" w:cs="宋体"/>
                <w:b w:val="0"/>
                <w:color w:val="000000"/>
                <w:sz w:val="18"/>
                <w:szCs w:val="18"/>
                <w:vertAlign w:val="baseline"/>
                <w:lang w:val="en-US" w:eastAsia="zh-CN"/>
              </w:rPr>
            </w:pPr>
          </w:p>
        </w:tc>
        <w:tc>
          <w:tcPr>
            <w:tcW w:w="2045" w:type="dxa"/>
            <w:vMerge w:val="continue"/>
            <w:tcBorders>
              <w:left w:val="single" w:color="000000" w:sz="4" w:space="0"/>
              <w:right w:val="single" w:color="000000" w:sz="4" w:space="0"/>
            </w:tcBorders>
            <w:shd w:val="clear" w:color="auto" w:fill="FFFFFF"/>
            <w:vAlign w:val="center"/>
          </w:tcPr>
          <w:p w14:paraId="5DBD1BE9">
            <w:pPr>
              <w:keepNext w:val="0"/>
              <w:keepLines w:val="0"/>
              <w:widowControl/>
              <w:suppressLineNumbers w:val="0"/>
              <w:jc w:val="left"/>
              <w:rPr>
                <w:rFonts w:hint="eastAsia" w:ascii="宋体" w:hAnsi="宋体" w:eastAsia="宋体" w:cs="宋体"/>
                <w:color w:val="000000"/>
                <w:kern w:val="0"/>
                <w:sz w:val="18"/>
                <w:szCs w:val="18"/>
                <w:lang w:val="en-US" w:eastAsia="zh-CN" w:bidi="ar"/>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472555">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达到设计值或一个月内出现10次以上2级超限</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67AFE7">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3</w:t>
            </w:r>
            <w:r>
              <w:rPr>
                <w:rFonts w:hint="eastAsia" w:ascii="宋体" w:hAnsi="宋体" w:eastAsia="宋体" w:cs="宋体"/>
                <w:b w:val="0"/>
                <w:color w:val="000000"/>
                <w:sz w:val="18"/>
                <w:szCs w:val="18"/>
                <w:vertAlign w:val="baseline"/>
                <w:lang w:val="en-US" w:eastAsia="zh-CN"/>
              </w:rPr>
              <w:t>级</w:t>
            </w:r>
          </w:p>
        </w:tc>
        <w:tc>
          <w:tcPr>
            <w:tcW w:w="1914" w:type="dxa"/>
            <w:vMerge w:val="continue"/>
            <w:tcBorders>
              <w:left w:val="single" w:color="000000" w:sz="4" w:space="0"/>
              <w:bottom w:val="single" w:color="000000" w:sz="4" w:space="0"/>
              <w:right w:val="single" w:color="000000" w:sz="12" w:space="0"/>
            </w:tcBorders>
            <w:shd w:val="clear" w:color="auto" w:fill="FFFFFF"/>
            <w:vAlign w:val="center"/>
          </w:tcPr>
          <w:p w14:paraId="22D3BC4A">
            <w:pPr>
              <w:pStyle w:val="57"/>
              <w:ind w:left="0" w:leftChars="0" w:firstLine="0" w:firstLineChars="0"/>
              <w:jc w:val="both"/>
              <w:rPr>
                <w:rFonts w:hint="eastAsia" w:ascii="宋体" w:hAnsi="宋体" w:eastAsia="宋体" w:cs="宋体"/>
                <w:b w:val="0"/>
                <w:color w:val="000000"/>
                <w:sz w:val="18"/>
                <w:szCs w:val="18"/>
                <w:vertAlign w:val="baseline"/>
              </w:rPr>
            </w:pPr>
          </w:p>
        </w:tc>
      </w:tr>
      <w:tr w14:paraId="04D1E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restart"/>
            <w:tcBorders>
              <w:left w:val="single" w:color="000000" w:sz="12" w:space="0"/>
              <w:right w:val="single" w:color="000000" w:sz="4" w:space="0"/>
            </w:tcBorders>
            <w:shd w:val="clear" w:color="auto" w:fill="FFFFFF"/>
            <w:vAlign w:val="center"/>
          </w:tcPr>
          <w:p w14:paraId="150F7CD7">
            <w:pPr>
              <w:pStyle w:val="57"/>
              <w:ind w:left="0" w:leftChars="0" w:firstLine="0" w:firstLineChars="0"/>
              <w:jc w:val="center"/>
              <w:rPr>
                <w:rFonts w:hint="default" w:hAnsi="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10</w:t>
            </w:r>
          </w:p>
        </w:tc>
        <w:tc>
          <w:tcPr>
            <w:tcW w:w="2045" w:type="dxa"/>
            <w:vMerge w:val="restart"/>
            <w:tcBorders>
              <w:left w:val="single" w:color="000000" w:sz="4" w:space="0"/>
              <w:right w:val="single" w:color="000000" w:sz="4" w:space="0"/>
            </w:tcBorders>
            <w:shd w:val="clear" w:color="auto" w:fill="FFFFFF"/>
            <w:vAlign w:val="center"/>
          </w:tcPr>
          <w:p w14:paraId="632A3BEA">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混凝土耐久性</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42E1DF">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达到 0.8</w:t>
            </w:r>
            <w:r>
              <w:rPr>
                <w:rFonts w:hint="eastAsia" w:ascii="宋体" w:hAnsi="宋体" w:cs="宋体"/>
                <w:b w:val="0"/>
                <w:color w:val="000000"/>
                <w:kern w:val="0"/>
                <w:sz w:val="18"/>
                <w:szCs w:val="18"/>
                <w:lang w:val="en-US" w:eastAsia="zh-CN" w:bidi="ar"/>
              </w:rPr>
              <w:t>5</w:t>
            </w:r>
            <w:r>
              <w:rPr>
                <w:rFonts w:hint="eastAsia" w:ascii="宋体" w:hAnsi="宋体" w:eastAsia="宋体" w:cs="宋体"/>
                <w:b w:val="0"/>
                <w:color w:val="000000"/>
                <w:kern w:val="0"/>
                <w:sz w:val="18"/>
                <w:szCs w:val="18"/>
                <w:lang w:val="en-US" w:eastAsia="zh-CN" w:bidi="ar"/>
              </w:rPr>
              <w:t xml:space="preserve"> 倍设计值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0A7881">
            <w:pPr>
              <w:pStyle w:val="57"/>
              <w:ind w:left="0" w:leftChars="0" w:firstLine="0" w:firstLineChars="0"/>
              <w:jc w:val="center"/>
              <w:rPr>
                <w:rFonts w:hint="eastAsia" w:hAnsi="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1级</w:t>
            </w:r>
          </w:p>
        </w:tc>
        <w:tc>
          <w:tcPr>
            <w:tcW w:w="1914" w:type="dxa"/>
            <w:tcBorders>
              <w:left w:val="single" w:color="000000" w:sz="4" w:space="0"/>
              <w:bottom w:val="single" w:color="000000" w:sz="4" w:space="0"/>
              <w:right w:val="single" w:color="000000" w:sz="12" w:space="0"/>
            </w:tcBorders>
            <w:shd w:val="clear" w:color="auto" w:fill="FFFFFF"/>
            <w:vAlign w:val="center"/>
          </w:tcPr>
          <w:p w14:paraId="1A8F0FEA">
            <w:pPr>
              <w:pStyle w:val="57"/>
              <w:ind w:left="0" w:leftChars="0" w:firstLine="0" w:firstLineChars="0"/>
              <w:jc w:val="both"/>
              <w:rPr>
                <w:rFonts w:hint="eastAsia" w:ascii="宋体" w:hAnsi="宋体" w:eastAsia="宋体" w:cs="宋体"/>
                <w:b w:val="0"/>
                <w:color w:val="000000"/>
                <w:sz w:val="18"/>
                <w:szCs w:val="18"/>
                <w:vertAlign w:val="baseline"/>
              </w:rPr>
            </w:pPr>
          </w:p>
        </w:tc>
      </w:tr>
      <w:tr w14:paraId="78F8D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continue"/>
            <w:tcBorders>
              <w:left w:val="single" w:color="000000" w:sz="12" w:space="0"/>
              <w:right w:val="single" w:color="000000" w:sz="4" w:space="0"/>
            </w:tcBorders>
            <w:shd w:val="clear" w:color="auto" w:fill="FFFFFF"/>
            <w:vAlign w:val="center"/>
          </w:tcPr>
          <w:p w14:paraId="4F956641">
            <w:pPr>
              <w:pStyle w:val="57"/>
              <w:ind w:left="0" w:leftChars="0" w:firstLine="0" w:firstLineChars="0"/>
              <w:jc w:val="center"/>
              <w:rPr>
                <w:rFonts w:hint="eastAsia" w:hAnsi="宋体" w:cs="宋体"/>
                <w:b w:val="0"/>
                <w:color w:val="000000"/>
                <w:sz w:val="18"/>
                <w:szCs w:val="18"/>
                <w:vertAlign w:val="baseline"/>
                <w:lang w:val="en-US" w:eastAsia="zh-CN"/>
              </w:rPr>
            </w:pPr>
          </w:p>
        </w:tc>
        <w:tc>
          <w:tcPr>
            <w:tcW w:w="2045" w:type="dxa"/>
            <w:vMerge w:val="continue"/>
            <w:tcBorders>
              <w:left w:val="single" w:color="000000" w:sz="4" w:space="0"/>
              <w:right w:val="single" w:color="000000" w:sz="4" w:space="0"/>
            </w:tcBorders>
            <w:shd w:val="clear" w:color="auto" w:fill="FFFFFF"/>
            <w:vAlign w:val="center"/>
          </w:tcPr>
          <w:p w14:paraId="6D08D219">
            <w:pPr>
              <w:keepNext w:val="0"/>
              <w:keepLines w:val="0"/>
              <w:widowControl/>
              <w:suppressLineNumbers w:val="0"/>
              <w:jc w:val="left"/>
              <w:rPr>
                <w:rFonts w:hint="eastAsia" w:ascii="宋体" w:hAnsi="宋体" w:cs="宋体"/>
                <w:color w:val="000000"/>
                <w:kern w:val="0"/>
                <w:sz w:val="18"/>
                <w:szCs w:val="18"/>
                <w:lang w:val="en-US" w:eastAsia="zh-CN" w:bidi="ar"/>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164BFA">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cs="宋体"/>
                <w:b w:val="0"/>
                <w:color w:val="000000"/>
                <w:kern w:val="0"/>
                <w:sz w:val="18"/>
                <w:szCs w:val="18"/>
                <w:lang w:val="en-US" w:eastAsia="zh-CN" w:bidi="ar"/>
              </w:rPr>
              <w:t>达到设计值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7BB448">
            <w:pPr>
              <w:pStyle w:val="57"/>
              <w:ind w:left="0" w:leftChars="0" w:firstLine="0" w:firstLineChars="0"/>
              <w:jc w:val="center"/>
              <w:rPr>
                <w:rFonts w:hint="eastAsia" w:hAnsi="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2级</w:t>
            </w:r>
          </w:p>
        </w:tc>
        <w:tc>
          <w:tcPr>
            <w:tcW w:w="1914" w:type="dxa"/>
            <w:tcBorders>
              <w:left w:val="single" w:color="000000" w:sz="4" w:space="0"/>
              <w:bottom w:val="single" w:color="000000" w:sz="4" w:space="0"/>
              <w:right w:val="single" w:color="000000" w:sz="12" w:space="0"/>
            </w:tcBorders>
            <w:shd w:val="clear" w:color="auto" w:fill="FFFFFF"/>
            <w:vAlign w:val="center"/>
          </w:tcPr>
          <w:p w14:paraId="710D66C4">
            <w:pPr>
              <w:pStyle w:val="57"/>
              <w:ind w:left="0" w:leftChars="0" w:firstLine="0" w:firstLineChars="0"/>
              <w:jc w:val="both"/>
              <w:rPr>
                <w:rFonts w:hint="eastAsia" w:ascii="宋体" w:hAnsi="宋体" w:eastAsia="宋体" w:cs="宋体"/>
                <w:b w:val="0"/>
                <w:color w:val="000000"/>
                <w:sz w:val="18"/>
                <w:szCs w:val="18"/>
                <w:vertAlign w:val="baseline"/>
              </w:rPr>
            </w:pPr>
          </w:p>
        </w:tc>
      </w:tr>
      <w:tr w14:paraId="4BCED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000000" w:sz="4" w:space="0"/>
              <w:left w:val="single" w:color="000000" w:sz="12" w:space="0"/>
              <w:bottom w:val="single" w:color="000000" w:sz="12" w:space="0"/>
              <w:right w:val="single" w:color="000000" w:sz="4" w:space="0"/>
            </w:tcBorders>
            <w:shd w:val="clear" w:color="auto" w:fill="FFFFFF"/>
            <w:vAlign w:val="center"/>
          </w:tcPr>
          <w:p w14:paraId="780A6D9F">
            <w:pPr>
              <w:pStyle w:val="57"/>
              <w:ind w:left="0" w:leftChars="0" w:firstLine="0" w:firstLineChars="0"/>
              <w:jc w:val="center"/>
              <w:rPr>
                <w:rFonts w:hint="default"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11</w:t>
            </w:r>
          </w:p>
        </w:tc>
        <w:tc>
          <w:tcPr>
            <w:tcW w:w="2045" w:type="dxa"/>
            <w:tcBorders>
              <w:top w:val="single" w:color="000000" w:sz="4" w:space="0"/>
              <w:left w:val="single" w:color="000000" w:sz="4" w:space="0"/>
              <w:bottom w:val="single" w:color="000000" w:sz="12" w:space="0"/>
              <w:right w:val="single" w:color="000000" w:sz="4" w:space="0"/>
            </w:tcBorders>
            <w:shd w:val="clear" w:color="auto" w:fill="FFFFFF"/>
            <w:vAlign w:val="center"/>
          </w:tcPr>
          <w:p w14:paraId="4B7A7D8B">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cs="宋体"/>
                <w:color w:val="000000"/>
                <w:kern w:val="0"/>
                <w:sz w:val="18"/>
                <w:szCs w:val="18"/>
                <w:lang w:val="en-US" w:eastAsia="zh-CN" w:bidi="ar"/>
              </w:rPr>
              <w:t>钢结构耐久性</w:t>
            </w:r>
          </w:p>
        </w:tc>
        <w:tc>
          <w:tcPr>
            <w:tcW w:w="3589" w:type="dxa"/>
            <w:tcBorders>
              <w:top w:val="single" w:color="000000" w:sz="4" w:space="0"/>
              <w:left w:val="single" w:color="000000" w:sz="4" w:space="0"/>
              <w:bottom w:val="single" w:color="000000" w:sz="12" w:space="0"/>
              <w:right w:val="single" w:color="000000" w:sz="4" w:space="0"/>
            </w:tcBorders>
            <w:shd w:val="clear" w:color="auto" w:fill="FFFFFF"/>
            <w:vAlign w:val="center"/>
          </w:tcPr>
          <w:p w14:paraId="59622BF7">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腐蚀深度达到保护层深度</w:t>
            </w:r>
          </w:p>
        </w:tc>
        <w:tc>
          <w:tcPr>
            <w:tcW w:w="1043" w:type="dxa"/>
            <w:tcBorders>
              <w:top w:val="single" w:color="000000" w:sz="4" w:space="0"/>
              <w:left w:val="single" w:color="000000" w:sz="4" w:space="0"/>
              <w:bottom w:val="single" w:color="000000" w:sz="12" w:space="0"/>
              <w:right w:val="single" w:color="000000" w:sz="4" w:space="0"/>
            </w:tcBorders>
            <w:shd w:val="clear" w:color="auto" w:fill="FFFFFF"/>
            <w:vAlign w:val="center"/>
          </w:tcPr>
          <w:p w14:paraId="6DB4808B">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2级</w:t>
            </w:r>
          </w:p>
        </w:tc>
        <w:tc>
          <w:tcPr>
            <w:tcW w:w="1914" w:type="dxa"/>
            <w:tcBorders>
              <w:top w:val="single" w:color="000000" w:sz="4" w:space="0"/>
              <w:left w:val="single" w:color="000000" w:sz="4" w:space="0"/>
              <w:bottom w:val="single" w:color="000000" w:sz="12" w:space="0"/>
              <w:right w:val="single" w:color="000000" w:sz="12" w:space="0"/>
            </w:tcBorders>
            <w:shd w:val="clear" w:color="auto" w:fill="FFFFFF"/>
            <w:vAlign w:val="center"/>
          </w:tcPr>
          <w:p w14:paraId="1DA1A3D5">
            <w:pPr>
              <w:pStyle w:val="57"/>
              <w:ind w:left="0" w:leftChars="0" w:firstLine="0" w:firstLineChars="0"/>
              <w:jc w:val="both"/>
              <w:rPr>
                <w:rFonts w:hint="eastAsia" w:ascii="宋体" w:hAnsi="宋体" w:eastAsia="宋体" w:cs="宋体"/>
                <w:b w:val="0"/>
                <w:color w:val="000000"/>
                <w:sz w:val="18"/>
                <w:szCs w:val="18"/>
                <w:vertAlign w:val="baseline"/>
              </w:rPr>
            </w:pPr>
          </w:p>
        </w:tc>
      </w:tr>
    </w:tbl>
    <w:p w14:paraId="7819CB07">
      <w:pPr>
        <w:pStyle w:val="181"/>
        <w:numPr>
          <w:ilvl w:val="0"/>
          <w:numId w:val="38"/>
        </w:numPr>
        <w:rPr>
          <w:rFonts w:hint="eastAsia" w:hAnsi="宋体" w:cs="宋体"/>
          <w:color w:val="000000"/>
          <w:lang w:bidi="ar"/>
        </w:rPr>
      </w:pPr>
      <w:r>
        <w:rPr>
          <w:rFonts w:hint="eastAsia" w:hAnsi="宋体" w:cs="宋体"/>
          <w:color w:val="000000"/>
          <w:lang w:val="en-US" w:eastAsia="zh-CN" w:bidi="ar"/>
        </w:rPr>
        <w:t>超限阈值可根据内河船闸的健康度和技术状况进行调整。</w:t>
      </w:r>
    </w:p>
    <w:p w14:paraId="06E490D9">
      <w:pPr>
        <w:pStyle w:val="181"/>
        <w:numPr>
          <w:ilvl w:val="0"/>
          <w:numId w:val="38"/>
        </w:numPr>
        <w:rPr>
          <w:rFonts w:hint="eastAsia" w:hAnsi="宋体" w:cs="宋体"/>
          <w:color w:val="000000"/>
          <w:lang w:bidi="ar"/>
        </w:rPr>
      </w:pPr>
      <w:r>
        <w:rPr>
          <w:rFonts w:hint="eastAsia" w:hAnsi="宋体" w:cs="宋体"/>
          <w:color w:val="000000"/>
          <w:lang w:bidi="ar"/>
        </w:rPr>
        <w:t>“超限阈值”一列中的“设计值”参考了</w:t>
      </w:r>
      <w:r>
        <w:rPr>
          <w:rFonts w:hint="eastAsia"/>
          <w:highlight w:val="none"/>
          <w:lang w:val="en-US" w:eastAsia="zh-CN"/>
        </w:rPr>
        <w:t>GB 50158、</w:t>
      </w:r>
      <w:r>
        <w:rPr>
          <w:rFonts w:hint="eastAsia" w:hAnsi="宋体" w:cs="宋体"/>
          <w:color w:val="000000"/>
          <w:lang w:val="en-US" w:eastAsia="zh-CN" w:bidi="ar"/>
        </w:rPr>
        <w:t>JTS 304、JTS/312</w:t>
      </w:r>
      <w:r>
        <w:rPr>
          <w:rFonts w:hint="eastAsia" w:hAnsi="宋体" w:cs="宋体"/>
          <w:color w:val="000000"/>
          <w:lang w:bidi="ar"/>
        </w:rPr>
        <w:t>的相关规定。</w:t>
      </w:r>
    </w:p>
    <w:p w14:paraId="1247524D">
      <w:pPr>
        <w:pStyle w:val="57"/>
        <w:ind w:left="0" w:leftChars="0" w:firstLine="0" w:firstLineChars="0"/>
        <w:rPr>
          <w:rFonts w:hint="eastAsia"/>
        </w:rPr>
      </w:pPr>
    </w:p>
    <w:p w14:paraId="00946000">
      <w:pPr>
        <w:pStyle w:val="57"/>
        <w:ind w:left="0" w:leftChars="0" w:firstLine="0" w:firstLineChars="0"/>
        <w:rPr>
          <w:rFonts w:hint="eastAsia"/>
        </w:rPr>
      </w:pPr>
    </w:p>
    <w:p w14:paraId="008B79C8">
      <w:pPr>
        <w:pStyle w:val="57"/>
        <w:ind w:left="0" w:leftChars="0" w:firstLine="0" w:firstLineChars="0"/>
        <w:rPr>
          <w:rFonts w:hint="eastAsia"/>
        </w:rPr>
      </w:pPr>
    </w:p>
    <w:p w14:paraId="293894E2">
      <w:pPr>
        <w:pStyle w:val="77"/>
        <w:spacing w:after="156"/>
      </w:pPr>
      <w:bookmarkStart w:id="79" w:name="_Toc19078"/>
      <w:r>
        <w:br w:type="textWrapping"/>
      </w:r>
      <w:r>
        <w:rPr>
          <w:rFonts w:hint="eastAsia"/>
        </w:rPr>
        <w:t>（规范性）</w:t>
      </w:r>
      <w:r>
        <w:br w:type="textWrapping"/>
      </w:r>
      <w:r>
        <w:rPr>
          <w:rFonts w:hint="eastAsia" w:hAnsi="宋体" w:cs="黑体"/>
          <w:color w:val="000000"/>
          <w:kern w:val="0"/>
          <w:sz w:val="21"/>
          <w:szCs w:val="21"/>
          <w:lang w:val="en-US" w:eastAsia="zh-CN" w:bidi="ar"/>
        </w:rPr>
        <w:t>跨闸桥梁健康</w:t>
      </w:r>
      <w:r>
        <w:rPr>
          <w:rFonts w:hint="eastAsia"/>
          <w:lang w:val="en-US" w:eastAsia="zh-CN"/>
        </w:rPr>
        <w:t>监测与预警常见特征指标超限初始阈值</w:t>
      </w:r>
      <w:bookmarkEnd w:id="79"/>
    </w:p>
    <w:p w14:paraId="34E1A28D">
      <w:pPr>
        <w:pStyle w:val="57"/>
        <w:ind w:left="0" w:leftChars="0" w:firstLine="0" w:firstLineChars="0"/>
        <w:rPr>
          <w:rFonts w:hint="eastAsia"/>
          <w:lang w:val="en-US" w:eastAsia="zh-CN"/>
        </w:rPr>
      </w:pPr>
      <w:r>
        <w:rPr>
          <w:rFonts w:hint="eastAsia"/>
          <w:lang w:val="en-US" w:eastAsia="zh-CN"/>
        </w:rPr>
        <w:t>表D.1规范了跨闸桥梁健康监测与预警常见特征指标的超限初始阈值。</w:t>
      </w:r>
    </w:p>
    <w:p w14:paraId="35DA1482">
      <w:pPr>
        <w:keepNext w:val="0"/>
        <w:keepLines w:val="0"/>
        <w:widowControl/>
        <w:suppressLineNumbers w:val="0"/>
        <w:jc w:val="center"/>
        <w:rPr>
          <w:rFonts w:hint="default" w:ascii="黑体" w:hAnsi="宋体" w:eastAsia="黑体" w:cs="黑体"/>
          <w:color w:val="000000"/>
          <w:kern w:val="0"/>
          <w:sz w:val="21"/>
          <w:szCs w:val="21"/>
          <w:lang w:val="en-US" w:eastAsia="zh-CN" w:bidi="ar"/>
        </w:rPr>
      </w:pPr>
      <w:r>
        <w:rPr>
          <w:rFonts w:hint="eastAsia" w:ascii="黑体" w:hAnsi="宋体" w:eastAsia="黑体" w:cs="黑体"/>
          <w:color w:val="000000"/>
          <w:kern w:val="0"/>
          <w:sz w:val="21"/>
          <w:szCs w:val="21"/>
          <w:lang w:val="en-US" w:eastAsia="zh-CN" w:bidi="ar"/>
        </w:rPr>
        <w:t>表D.1  跨闸桥梁健康监测与预警常见特征指标超限初始阈值表</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2045"/>
        <w:gridCol w:w="3589"/>
        <w:gridCol w:w="1043"/>
        <w:gridCol w:w="1914"/>
      </w:tblGrid>
      <w:tr w14:paraId="3F9DD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000000" w:sz="12" w:space="0"/>
              <w:left w:val="single" w:color="000000" w:sz="12" w:space="0"/>
              <w:bottom w:val="single" w:color="000000" w:sz="4" w:space="0"/>
              <w:right w:val="single" w:color="000000" w:sz="4" w:space="0"/>
              <w:tl2br w:val="nil"/>
            </w:tcBorders>
            <w:shd w:val="clear" w:color="auto" w:fill="FFFFFF"/>
          </w:tcPr>
          <w:p w14:paraId="2280F84D">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序号</w:t>
            </w:r>
          </w:p>
        </w:tc>
        <w:tc>
          <w:tcPr>
            <w:tcW w:w="2045" w:type="dxa"/>
            <w:tcBorders>
              <w:top w:val="single" w:color="000000" w:sz="12" w:space="0"/>
              <w:left w:val="single" w:color="000000" w:sz="4" w:space="0"/>
              <w:bottom w:val="single" w:color="000000" w:sz="4" w:space="0"/>
              <w:right w:val="single" w:color="000000" w:sz="4" w:space="0"/>
            </w:tcBorders>
            <w:shd w:val="clear" w:color="auto" w:fill="FFFFFF"/>
          </w:tcPr>
          <w:p w14:paraId="4CE52B08">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特征指标</w:t>
            </w:r>
          </w:p>
        </w:tc>
        <w:tc>
          <w:tcPr>
            <w:tcW w:w="3589" w:type="dxa"/>
            <w:tcBorders>
              <w:top w:val="single" w:color="000000" w:sz="12" w:space="0"/>
              <w:left w:val="single" w:color="000000" w:sz="4" w:space="0"/>
              <w:bottom w:val="single" w:color="000000" w:sz="4" w:space="0"/>
              <w:right w:val="single" w:color="000000" w:sz="4" w:space="0"/>
            </w:tcBorders>
            <w:shd w:val="clear" w:color="auto" w:fill="FFFFFF"/>
          </w:tcPr>
          <w:p w14:paraId="22285B9A">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超限初始</w:t>
            </w:r>
            <w:r>
              <w:rPr>
                <w:rFonts w:hint="eastAsia" w:ascii="宋体" w:hAnsi="宋体" w:eastAsia="宋体" w:cs="宋体"/>
                <w:b w:val="0"/>
                <w:color w:val="000000"/>
                <w:sz w:val="18"/>
                <w:szCs w:val="18"/>
                <w:vertAlign w:val="baseline"/>
                <w:lang w:val="en-US" w:eastAsia="zh-CN"/>
              </w:rPr>
              <w:t>阈值</w:t>
            </w:r>
          </w:p>
        </w:tc>
        <w:tc>
          <w:tcPr>
            <w:tcW w:w="1043" w:type="dxa"/>
            <w:tcBorders>
              <w:top w:val="single" w:color="000000" w:sz="12" w:space="0"/>
              <w:left w:val="single" w:color="000000" w:sz="4" w:space="0"/>
              <w:bottom w:val="single" w:color="000000" w:sz="4" w:space="0"/>
              <w:right w:val="single" w:color="000000" w:sz="4" w:space="0"/>
            </w:tcBorders>
            <w:shd w:val="clear" w:color="auto" w:fill="FFFFFF"/>
          </w:tcPr>
          <w:p w14:paraId="3EF15F9D">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超限级别</w:t>
            </w:r>
          </w:p>
        </w:tc>
        <w:tc>
          <w:tcPr>
            <w:tcW w:w="1914" w:type="dxa"/>
            <w:tcBorders>
              <w:top w:val="single" w:color="000000" w:sz="12" w:space="0"/>
              <w:left w:val="single" w:color="000000" w:sz="4" w:space="0"/>
              <w:bottom w:val="single" w:color="000000" w:sz="4" w:space="0"/>
              <w:right w:val="single" w:color="000000" w:sz="12" w:space="0"/>
            </w:tcBorders>
            <w:shd w:val="clear" w:color="auto" w:fill="FFFFFF"/>
          </w:tcPr>
          <w:p w14:paraId="004CE8FF">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备注</w:t>
            </w:r>
          </w:p>
        </w:tc>
      </w:tr>
      <w:tr w14:paraId="71B7A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979" w:type="dxa"/>
            <w:vMerge w:val="restart"/>
            <w:tcBorders>
              <w:top w:val="single" w:color="000000" w:sz="4" w:space="0"/>
              <w:left w:val="single" w:color="000000" w:sz="12" w:space="0"/>
              <w:bottom w:val="single" w:color="000000" w:sz="4" w:space="0"/>
              <w:right w:val="single" w:color="000000" w:sz="4" w:space="0"/>
            </w:tcBorders>
            <w:shd w:val="clear" w:color="auto" w:fill="FFFFFF"/>
            <w:vAlign w:val="center"/>
          </w:tcPr>
          <w:p w14:paraId="57E995F3">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1</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82FC3DB">
            <w:pPr>
              <w:keepNext w:val="0"/>
              <w:keepLines w:val="0"/>
              <w:widowControl/>
              <w:suppressLineNumbers w:val="0"/>
              <w:jc w:val="both"/>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kern w:val="0"/>
                <w:sz w:val="18"/>
                <w:szCs w:val="18"/>
                <w:lang w:val="en-US" w:eastAsia="zh-CN" w:bidi="ar"/>
              </w:rPr>
              <w:t>最高温度、最低温度、最大温差</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03E3DE">
            <w:pPr>
              <w:pStyle w:val="57"/>
              <w:ind w:left="0" w:leftChars="0" w:firstLine="0" w:firstLineChars="0"/>
              <w:jc w:val="both"/>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1B0961">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1级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33EE8B84">
            <w:pPr>
              <w:pStyle w:val="57"/>
              <w:ind w:left="0" w:leftChars="0" w:firstLine="0" w:firstLineChars="0"/>
              <w:jc w:val="both"/>
              <w:rPr>
                <w:rFonts w:hint="eastAsia" w:ascii="宋体" w:hAnsi="宋体" w:eastAsia="宋体" w:cs="宋体"/>
                <w:b w:val="0"/>
                <w:color w:val="000000"/>
                <w:sz w:val="18"/>
                <w:szCs w:val="18"/>
                <w:vertAlign w:val="baseline"/>
              </w:rPr>
            </w:pPr>
          </w:p>
        </w:tc>
      </w:tr>
      <w:tr w14:paraId="25F36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979" w:type="dxa"/>
            <w:vMerge w:val="continue"/>
            <w:tcBorders>
              <w:top w:val="single" w:color="000000" w:sz="4" w:space="0"/>
              <w:left w:val="single" w:color="000000" w:sz="12" w:space="0"/>
              <w:bottom w:val="single" w:color="000000" w:sz="4" w:space="0"/>
              <w:right w:val="single" w:color="000000" w:sz="4" w:space="0"/>
            </w:tcBorders>
            <w:shd w:val="clear" w:color="auto" w:fill="FFFFFF"/>
            <w:vAlign w:val="center"/>
          </w:tcPr>
          <w:p w14:paraId="47DD7826">
            <w:pPr>
              <w:pStyle w:val="57"/>
              <w:ind w:left="0" w:leftChars="0" w:firstLine="0" w:firstLineChars="0"/>
              <w:jc w:val="center"/>
              <w:rPr>
                <w:rFonts w:hint="eastAsia" w:ascii="宋体" w:hAnsi="宋体" w:eastAsia="宋体" w:cs="宋体"/>
                <w:b w:val="0"/>
                <w:color w:val="000000"/>
                <w:sz w:val="18"/>
                <w:szCs w:val="18"/>
                <w:vertAlign w:val="baseli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13CC90A">
            <w:pPr>
              <w:pStyle w:val="57"/>
              <w:ind w:left="0" w:leftChars="0" w:firstLine="0" w:firstLineChars="0"/>
              <w:jc w:val="both"/>
              <w:rPr>
                <w:rFonts w:hint="eastAsia" w:ascii="宋体" w:hAnsi="宋体" w:eastAsia="宋体" w:cs="宋体"/>
                <w:b w:val="0"/>
                <w:color w:val="000000"/>
                <w:sz w:val="18"/>
                <w:szCs w:val="18"/>
                <w:vertAlign w:val="baseline"/>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F40DEE">
            <w:pPr>
              <w:keepNext w:val="0"/>
              <w:keepLines w:val="0"/>
              <w:widowControl/>
              <w:suppressLineNumbers w:val="0"/>
              <w:jc w:val="both"/>
              <w:rPr>
                <w:rFonts w:hint="eastAsia" w:ascii="宋体" w:hAnsi="宋体" w:eastAsia="宋体" w:cs="宋体"/>
                <w:b w:val="0"/>
                <w:color w:val="000000"/>
                <w:sz w:val="18"/>
                <w:szCs w:val="18"/>
                <w:vertAlign w:val="baseline"/>
              </w:rPr>
            </w:pPr>
            <w:r>
              <w:rPr>
                <w:rFonts w:hint="eastAsia" w:ascii="宋体" w:hAnsi="宋体" w:eastAsia="宋体" w:cs="宋体"/>
                <w:b w:val="0"/>
                <w:color w:val="000000"/>
                <w:kern w:val="0"/>
                <w:sz w:val="18"/>
                <w:szCs w:val="18"/>
                <w:lang w:val="en-US" w:eastAsia="zh-CN" w:bidi="ar"/>
              </w:rPr>
              <w:t>达到 1.2 倍设计值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E2607E">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2级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66D92840">
            <w:pPr>
              <w:pStyle w:val="57"/>
              <w:ind w:left="0" w:leftChars="0" w:firstLine="0" w:firstLineChars="0"/>
              <w:jc w:val="both"/>
              <w:rPr>
                <w:rFonts w:hint="eastAsia" w:ascii="宋体" w:hAnsi="宋体" w:eastAsia="宋体" w:cs="宋体"/>
                <w:b w:val="0"/>
                <w:color w:val="000000"/>
                <w:sz w:val="18"/>
                <w:szCs w:val="18"/>
                <w:vertAlign w:val="baseline"/>
              </w:rPr>
            </w:pPr>
          </w:p>
        </w:tc>
      </w:tr>
      <w:tr w14:paraId="75D08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979" w:type="dxa"/>
            <w:tcBorders>
              <w:top w:val="single" w:color="000000" w:sz="4" w:space="0"/>
              <w:left w:val="single" w:color="000000" w:sz="12" w:space="0"/>
              <w:bottom w:val="single" w:color="000000" w:sz="4" w:space="0"/>
              <w:right w:val="single" w:color="000000" w:sz="4" w:space="0"/>
            </w:tcBorders>
            <w:shd w:val="clear" w:color="auto" w:fill="FFFFFF"/>
            <w:vAlign w:val="center"/>
          </w:tcPr>
          <w:p w14:paraId="3CD78465">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2</w:t>
            </w:r>
          </w:p>
        </w:tc>
        <w:tc>
          <w:tcPr>
            <w:tcW w:w="20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D4C2FB">
            <w:pPr>
              <w:pStyle w:val="57"/>
              <w:ind w:left="0" w:leftChars="0" w:firstLine="0" w:firstLineChars="0"/>
              <w:jc w:val="both"/>
              <w:rPr>
                <w:rFonts w:hint="eastAsia" w:ascii="宋体" w:hAnsi="宋体" w:eastAsia="宋体" w:cs="宋体"/>
                <w:b w:val="0"/>
                <w:color w:val="000000"/>
                <w:sz w:val="18"/>
                <w:szCs w:val="18"/>
                <w:vertAlign w:val="baseline"/>
              </w:rPr>
            </w:pPr>
            <w:r>
              <w:rPr>
                <w:rFonts w:hint="eastAsia" w:ascii="宋体" w:hAnsi="宋体" w:eastAsia="宋体" w:cs="宋体"/>
                <w:b w:val="0"/>
                <w:color w:val="000000"/>
                <w:sz w:val="18"/>
                <w:szCs w:val="18"/>
                <w:vertAlign w:val="baseline"/>
              </w:rPr>
              <w:t>混凝土、钢结构构</w:t>
            </w:r>
          </w:p>
          <w:p w14:paraId="474A3B89">
            <w:pPr>
              <w:pStyle w:val="57"/>
              <w:ind w:left="0" w:leftChars="0" w:firstLine="0" w:firstLineChars="0"/>
              <w:jc w:val="both"/>
              <w:rPr>
                <w:rFonts w:hint="eastAsia" w:ascii="宋体" w:hAnsi="宋体" w:eastAsia="宋体" w:cs="宋体"/>
                <w:b w:val="0"/>
                <w:color w:val="000000"/>
                <w:sz w:val="18"/>
                <w:szCs w:val="18"/>
                <w:vertAlign w:val="baseline"/>
              </w:rPr>
            </w:pPr>
            <w:r>
              <w:rPr>
                <w:rFonts w:hint="eastAsia" w:ascii="宋体" w:hAnsi="宋体" w:eastAsia="宋体" w:cs="宋体"/>
                <w:b w:val="0"/>
                <w:color w:val="000000"/>
                <w:sz w:val="18"/>
                <w:szCs w:val="18"/>
                <w:vertAlign w:val="baseline"/>
              </w:rPr>
              <w:t>件温度</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21ACEF">
            <w:pPr>
              <w:keepNext w:val="0"/>
              <w:keepLines w:val="0"/>
              <w:widowControl/>
              <w:suppressLineNumbers w:val="0"/>
              <w:jc w:val="both"/>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达到设计值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02F95B">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1级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5D6210A4">
            <w:pPr>
              <w:pStyle w:val="57"/>
              <w:ind w:left="0" w:leftChars="0" w:firstLine="0" w:firstLineChars="0"/>
              <w:jc w:val="both"/>
              <w:rPr>
                <w:rFonts w:hint="eastAsia" w:ascii="宋体" w:hAnsi="宋体" w:eastAsia="宋体" w:cs="宋体"/>
                <w:b w:val="0"/>
                <w:color w:val="000000"/>
                <w:sz w:val="18"/>
                <w:szCs w:val="18"/>
                <w:vertAlign w:val="baseline"/>
              </w:rPr>
            </w:pPr>
          </w:p>
        </w:tc>
      </w:tr>
      <w:tr w14:paraId="3E183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000000" w:sz="4" w:space="0"/>
              <w:left w:val="single" w:color="000000" w:sz="12" w:space="0"/>
              <w:bottom w:val="single" w:color="000000" w:sz="4" w:space="0"/>
              <w:right w:val="single" w:color="000000" w:sz="4" w:space="0"/>
            </w:tcBorders>
            <w:shd w:val="clear" w:color="auto" w:fill="FFFFFF"/>
            <w:vAlign w:val="center"/>
          </w:tcPr>
          <w:p w14:paraId="490FBD11">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3</w:t>
            </w:r>
          </w:p>
        </w:tc>
        <w:tc>
          <w:tcPr>
            <w:tcW w:w="20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1FB22E">
            <w:pPr>
              <w:pStyle w:val="57"/>
              <w:ind w:left="0" w:leftChars="0" w:firstLine="0" w:firstLineChars="0"/>
              <w:jc w:val="both"/>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构件内部湿度</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E70174">
            <w:pPr>
              <w:keepNext w:val="0"/>
              <w:keepLines w:val="0"/>
              <w:widowControl/>
              <w:suppressLineNumbers w:val="0"/>
              <w:jc w:val="both"/>
              <w:rPr>
                <w:rFonts w:hint="eastAsia" w:ascii="宋体" w:hAnsi="宋体" w:eastAsia="宋体" w:cs="宋体"/>
                <w:b w:val="0"/>
                <w:color w:val="000000"/>
                <w:sz w:val="18"/>
                <w:szCs w:val="18"/>
                <w:vertAlign w:val="baseline"/>
              </w:rPr>
            </w:pPr>
            <w:r>
              <w:rPr>
                <w:rFonts w:hint="eastAsia" w:ascii="宋体" w:hAnsi="宋体" w:eastAsia="宋体" w:cs="宋体"/>
                <w:b w:val="0"/>
                <w:color w:val="000000"/>
                <w:kern w:val="0"/>
                <w:sz w:val="18"/>
                <w:szCs w:val="18"/>
                <w:lang w:val="en-US" w:eastAsia="zh-CN" w:bidi="ar"/>
              </w:rPr>
              <w:t>达到 50%</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9CFD2F">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1级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463ADF5A">
            <w:pPr>
              <w:pStyle w:val="57"/>
              <w:ind w:left="0" w:leftChars="0" w:firstLine="0" w:firstLineChars="0"/>
              <w:jc w:val="both"/>
              <w:rPr>
                <w:rFonts w:hint="eastAsia" w:ascii="宋体" w:hAnsi="宋体" w:eastAsia="宋体" w:cs="宋体"/>
                <w:b w:val="0"/>
                <w:color w:val="000000"/>
                <w:sz w:val="18"/>
                <w:szCs w:val="18"/>
                <w:vertAlign w:val="baseline"/>
              </w:rPr>
            </w:pPr>
          </w:p>
        </w:tc>
      </w:tr>
      <w:tr w14:paraId="62369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vMerge w:val="restart"/>
            <w:tcBorders>
              <w:top w:val="single" w:color="000000" w:sz="4" w:space="0"/>
              <w:left w:val="single" w:color="000000" w:sz="12" w:space="0"/>
              <w:bottom w:val="single" w:color="000000" w:sz="4" w:space="0"/>
              <w:right w:val="single" w:color="000000" w:sz="4" w:space="0"/>
            </w:tcBorders>
            <w:shd w:val="clear" w:color="auto" w:fill="FFFFFF"/>
            <w:vAlign w:val="center"/>
          </w:tcPr>
          <w:p w14:paraId="074475E2">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4</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DF2C8B5">
            <w:pPr>
              <w:pStyle w:val="57"/>
              <w:ind w:left="0" w:leftChars="0" w:firstLine="0" w:firstLineChars="0"/>
              <w:jc w:val="both"/>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风速、风向</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D3605D">
            <w:pPr>
              <w:keepNext w:val="0"/>
              <w:keepLines w:val="0"/>
              <w:widowControl/>
              <w:suppressLineNumbers w:val="0"/>
              <w:jc w:val="left"/>
              <w:rPr>
                <w:rFonts w:hint="eastAsia" w:ascii="宋体" w:hAnsi="宋体" w:eastAsia="宋体" w:cs="宋体"/>
                <w:b w:val="0"/>
                <w:color w:val="000000"/>
                <w:sz w:val="18"/>
                <w:szCs w:val="18"/>
                <w:vertAlign w:val="baseline"/>
              </w:rPr>
            </w:pPr>
            <w:r>
              <w:rPr>
                <w:rFonts w:hint="eastAsia" w:ascii="宋体" w:hAnsi="宋体" w:eastAsia="宋体" w:cs="宋体"/>
                <w:b w:val="0"/>
                <w:color w:val="000000"/>
                <w:kern w:val="0"/>
                <w:sz w:val="18"/>
                <w:szCs w:val="18"/>
                <w:lang w:val="en-US" w:eastAsia="zh-CN" w:bidi="ar"/>
              </w:rPr>
              <w:t>10 min 平均风速达到25 m/s</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4DA650">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1级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60136A02">
            <w:pPr>
              <w:pStyle w:val="57"/>
              <w:ind w:left="0" w:leftChars="0" w:firstLine="0" w:firstLineChars="0"/>
              <w:jc w:val="both"/>
              <w:rPr>
                <w:rFonts w:hint="eastAsia" w:ascii="宋体" w:hAnsi="宋体" w:eastAsia="宋体" w:cs="宋体"/>
                <w:b w:val="0"/>
                <w:color w:val="000000"/>
                <w:sz w:val="18"/>
                <w:szCs w:val="18"/>
                <w:vertAlign w:val="baseline"/>
              </w:rPr>
            </w:pPr>
          </w:p>
        </w:tc>
      </w:tr>
      <w:tr w14:paraId="63ED7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vMerge w:val="continue"/>
            <w:tcBorders>
              <w:top w:val="single" w:color="000000" w:sz="4" w:space="0"/>
              <w:left w:val="single" w:color="000000" w:sz="12" w:space="0"/>
              <w:bottom w:val="single" w:color="000000" w:sz="4" w:space="0"/>
              <w:right w:val="single" w:color="000000" w:sz="4" w:space="0"/>
            </w:tcBorders>
            <w:shd w:val="clear" w:color="auto" w:fill="FFFFFF"/>
            <w:vAlign w:val="center"/>
          </w:tcPr>
          <w:p w14:paraId="57B5B4E2">
            <w:pPr>
              <w:pStyle w:val="57"/>
              <w:ind w:left="0" w:leftChars="0" w:firstLine="0" w:firstLineChars="0"/>
              <w:jc w:val="center"/>
              <w:rPr>
                <w:rFonts w:hint="eastAsia" w:ascii="宋体" w:hAnsi="宋体" w:eastAsia="宋体" w:cs="宋体"/>
                <w:b w:val="0"/>
                <w:color w:val="000000"/>
                <w:sz w:val="18"/>
                <w:szCs w:val="18"/>
                <w:vertAlign w:val="baseli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C975BD">
            <w:pPr>
              <w:pStyle w:val="57"/>
              <w:ind w:left="0" w:leftChars="0" w:firstLine="0" w:firstLineChars="0"/>
              <w:jc w:val="both"/>
              <w:rPr>
                <w:rFonts w:hint="eastAsia" w:ascii="宋体" w:hAnsi="宋体" w:eastAsia="宋体" w:cs="宋体"/>
                <w:b w:val="0"/>
                <w:color w:val="000000"/>
                <w:sz w:val="18"/>
                <w:szCs w:val="18"/>
                <w:vertAlign w:val="baseline"/>
                <w:lang w:val="en-US" w:eastAsia="zh-CN"/>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F92B22">
            <w:pPr>
              <w:keepNext w:val="0"/>
              <w:keepLines w:val="0"/>
              <w:widowControl/>
              <w:suppressLineNumbers w:val="0"/>
              <w:jc w:val="left"/>
              <w:rPr>
                <w:rFonts w:hint="eastAsia" w:ascii="宋体" w:hAnsi="宋体" w:eastAsia="宋体" w:cs="宋体"/>
                <w:b w:val="0"/>
                <w:color w:val="000000"/>
                <w:sz w:val="18"/>
                <w:szCs w:val="18"/>
                <w:vertAlign w:val="baseline"/>
              </w:rPr>
            </w:pPr>
            <w:r>
              <w:rPr>
                <w:rFonts w:hint="eastAsia" w:ascii="宋体" w:hAnsi="宋体" w:eastAsia="宋体" w:cs="宋体"/>
                <w:b w:val="0"/>
                <w:color w:val="000000"/>
                <w:kern w:val="0"/>
                <w:sz w:val="18"/>
                <w:szCs w:val="18"/>
                <w:lang w:val="en-US" w:eastAsia="zh-CN" w:bidi="ar"/>
              </w:rPr>
              <w:t>10 min 平均风速达到0.8 倍设计基准风速</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90B131">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2级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5D6340B2">
            <w:pPr>
              <w:pStyle w:val="57"/>
              <w:ind w:left="0" w:leftChars="0" w:firstLine="0" w:firstLineChars="0"/>
              <w:jc w:val="both"/>
              <w:rPr>
                <w:rFonts w:hint="eastAsia" w:ascii="宋体" w:hAnsi="宋体" w:eastAsia="宋体" w:cs="宋体"/>
                <w:b w:val="0"/>
                <w:color w:val="000000"/>
                <w:sz w:val="18"/>
                <w:szCs w:val="18"/>
                <w:vertAlign w:val="baseline"/>
              </w:rPr>
            </w:pPr>
          </w:p>
        </w:tc>
      </w:tr>
      <w:tr w14:paraId="0056A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vMerge w:val="continue"/>
            <w:tcBorders>
              <w:top w:val="single" w:color="000000" w:sz="4" w:space="0"/>
              <w:left w:val="single" w:color="000000" w:sz="12" w:space="0"/>
              <w:bottom w:val="single" w:color="000000" w:sz="4" w:space="0"/>
              <w:right w:val="single" w:color="000000" w:sz="4" w:space="0"/>
            </w:tcBorders>
            <w:shd w:val="clear" w:color="auto" w:fill="FFFFFF"/>
            <w:vAlign w:val="center"/>
          </w:tcPr>
          <w:p w14:paraId="58CE0F8C">
            <w:pPr>
              <w:pStyle w:val="57"/>
              <w:ind w:left="0" w:leftChars="0" w:firstLine="0" w:firstLineChars="0"/>
              <w:jc w:val="center"/>
              <w:rPr>
                <w:rFonts w:hint="eastAsia" w:ascii="宋体" w:hAnsi="宋体" w:eastAsia="宋体" w:cs="宋体"/>
                <w:b w:val="0"/>
                <w:color w:val="000000"/>
                <w:sz w:val="18"/>
                <w:szCs w:val="18"/>
                <w:vertAlign w:val="baseli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065B05">
            <w:pPr>
              <w:pStyle w:val="57"/>
              <w:ind w:left="0" w:leftChars="0" w:firstLine="0" w:firstLineChars="0"/>
              <w:jc w:val="both"/>
              <w:rPr>
                <w:rFonts w:hint="eastAsia" w:ascii="宋体" w:hAnsi="宋体" w:eastAsia="宋体" w:cs="宋体"/>
                <w:b w:val="0"/>
                <w:color w:val="000000"/>
                <w:sz w:val="18"/>
                <w:szCs w:val="18"/>
                <w:vertAlign w:val="baseline"/>
                <w:lang w:val="en-US" w:eastAsia="zh-CN"/>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B3473A">
            <w:pPr>
              <w:keepNext w:val="0"/>
              <w:keepLines w:val="0"/>
              <w:widowControl/>
              <w:suppressLineNumbers w:val="0"/>
              <w:jc w:val="left"/>
              <w:rPr>
                <w:rFonts w:hint="eastAsia" w:ascii="宋体" w:hAnsi="宋体" w:eastAsia="宋体" w:cs="宋体"/>
                <w:b w:val="0"/>
                <w:color w:val="000000"/>
                <w:sz w:val="18"/>
                <w:szCs w:val="18"/>
                <w:vertAlign w:val="baseline"/>
              </w:rPr>
            </w:pPr>
            <w:r>
              <w:rPr>
                <w:rFonts w:hint="eastAsia" w:ascii="宋体" w:hAnsi="宋体" w:eastAsia="宋体" w:cs="宋体"/>
                <w:b w:val="0"/>
                <w:color w:val="000000"/>
                <w:kern w:val="0"/>
                <w:sz w:val="18"/>
                <w:szCs w:val="18"/>
                <w:lang w:val="en-US" w:eastAsia="zh-CN" w:bidi="ar"/>
              </w:rPr>
              <w:t>达到设计值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E718F5">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3级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164AEF1E">
            <w:pPr>
              <w:pStyle w:val="57"/>
              <w:ind w:left="0" w:leftChars="0" w:firstLine="0" w:firstLineChars="0"/>
              <w:jc w:val="both"/>
              <w:rPr>
                <w:rFonts w:hint="eastAsia" w:ascii="宋体" w:hAnsi="宋体" w:eastAsia="宋体" w:cs="宋体"/>
                <w:b w:val="0"/>
                <w:color w:val="000000"/>
                <w:sz w:val="18"/>
                <w:szCs w:val="18"/>
                <w:vertAlign w:val="baseline"/>
              </w:rPr>
            </w:pPr>
          </w:p>
        </w:tc>
      </w:tr>
      <w:tr w14:paraId="7E794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vMerge w:val="restart"/>
            <w:tcBorders>
              <w:top w:val="single" w:color="000000" w:sz="4" w:space="0"/>
              <w:left w:val="single" w:color="000000" w:sz="12" w:space="0"/>
              <w:bottom w:val="single" w:color="000000" w:sz="4" w:space="0"/>
              <w:right w:val="single" w:color="000000" w:sz="4" w:space="0"/>
            </w:tcBorders>
            <w:shd w:val="clear" w:color="auto" w:fill="FFFFFF"/>
            <w:vAlign w:val="center"/>
          </w:tcPr>
          <w:p w14:paraId="4BC3A96C">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5</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0C80207">
            <w:pPr>
              <w:pStyle w:val="57"/>
              <w:ind w:left="0" w:leftChars="0" w:firstLine="0" w:firstLineChars="0"/>
              <w:jc w:val="both"/>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水位、水深、水流速度</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D58E4B">
            <w:pPr>
              <w:pStyle w:val="57"/>
              <w:ind w:left="0" w:leftChars="0" w:firstLine="0" w:firstLineChars="0"/>
              <w:jc w:val="both"/>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kern w:val="0"/>
                <w:sz w:val="18"/>
                <w:szCs w:val="18"/>
                <w:lang w:val="en-US" w:eastAsia="zh-CN" w:bidi="ar"/>
              </w:rPr>
              <w:t>达到90%警戒值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E6272F">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1级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53E5134B">
            <w:pPr>
              <w:pStyle w:val="57"/>
              <w:ind w:left="0" w:leftChars="0" w:firstLine="0" w:firstLineChars="0"/>
              <w:jc w:val="both"/>
              <w:rPr>
                <w:rFonts w:hint="eastAsia" w:ascii="宋体" w:hAnsi="宋体" w:eastAsia="宋体" w:cs="宋体"/>
                <w:b w:val="0"/>
                <w:color w:val="000000"/>
                <w:sz w:val="18"/>
                <w:szCs w:val="18"/>
                <w:vertAlign w:val="baseline"/>
              </w:rPr>
            </w:pPr>
          </w:p>
        </w:tc>
      </w:tr>
      <w:tr w14:paraId="301C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vMerge w:val="continue"/>
            <w:tcBorders>
              <w:top w:val="single" w:color="000000" w:sz="4" w:space="0"/>
              <w:left w:val="single" w:color="000000" w:sz="12" w:space="0"/>
              <w:bottom w:val="single" w:color="000000" w:sz="4" w:space="0"/>
              <w:right w:val="single" w:color="000000" w:sz="4" w:space="0"/>
            </w:tcBorders>
            <w:shd w:val="clear" w:color="auto" w:fill="FFFFFF"/>
            <w:vAlign w:val="center"/>
          </w:tcPr>
          <w:p w14:paraId="0C0E4838">
            <w:pPr>
              <w:pStyle w:val="57"/>
              <w:ind w:left="0" w:leftChars="0" w:firstLine="0" w:firstLineChars="0"/>
              <w:jc w:val="both"/>
              <w:rPr>
                <w:rFonts w:hint="eastAsia" w:ascii="宋体" w:hAnsi="宋体" w:eastAsia="宋体" w:cs="宋体"/>
                <w:b w:val="0"/>
                <w:color w:val="000000"/>
                <w:sz w:val="18"/>
                <w:szCs w:val="18"/>
                <w:vertAlign w:val="baseli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62FF936">
            <w:pPr>
              <w:pStyle w:val="57"/>
              <w:ind w:left="0" w:leftChars="0" w:firstLine="0" w:firstLineChars="0"/>
              <w:jc w:val="both"/>
              <w:rPr>
                <w:rFonts w:hint="eastAsia" w:ascii="宋体" w:hAnsi="宋体" w:eastAsia="宋体" w:cs="宋体"/>
                <w:b w:val="0"/>
                <w:color w:val="000000"/>
                <w:sz w:val="18"/>
                <w:szCs w:val="18"/>
                <w:vertAlign w:val="baseline"/>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4F7DEB">
            <w:pPr>
              <w:pStyle w:val="57"/>
              <w:ind w:left="0" w:leftChars="0" w:firstLine="0" w:firstLineChars="0"/>
              <w:jc w:val="both"/>
              <w:rPr>
                <w:rFonts w:hint="eastAsia" w:ascii="宋体" w:hAnsi="宋体" w:eastAsia="宋体" w:cs="宋体"/>
                <w:b w:val="0"/>
                <w:color w:val="000000"/>
                <w:sz w:val="18"/>
                <w:szCs w:val="18"/>
                <w:vertAlign w:val="baseline"/>
              </w:rPr>
            </w:pPr>
            <w:r>
              <w:rPr>
                <w:rFonts w:hint="eastAsia" w:ascii="宋体" w:hAnsi="宋体" w:eastAsia="宋体" w:cs="宋体"/>
                <w:b w:val="0"/>
                <w:color w:val="000000"/>
                <w:kern w:val="0"/>
                <w:sz w:val="18"/>
                <w:szCs w:val="18"/>
                <w:lang w:val="en-US" w:eastAsia="zh-CN" w:bidi="ar"/>
              </w:rPr>
              <w:t>达到警戒值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62DEF5">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2级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38623670">
            <w:pPr>
              <w:pStyle w:val="57"/>
              <w:ind w:left="0" w:leftChars="0" w:firstLine="0" w:firstLineChars="0"/>
              <w:jc w:val="both"/>
              <w:rPr>
                <w:rFonts w:hint="eastAsia" w:ascii="宋体" w:hAnsi="宋体" w:eastAsia="宋体" w:cs="宋体"/>
                <w:b w:val="0"/>
                <w:color w:val="000000"/>
                <w:sz w:val="18"/>
                <w:szCs w:val="18"/>
                <w:vertAlign w:val="baseline"/>
              </w:rPr>
            </w:pPr>
          </w:p>
        </w:tc>
      </w:tr>
      <w:tr w14:paraId="09092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vMerge w:val="restart"/>
            <w:tcBorders>
              <w:top w:val="single" w:color="000000" w:sz="4" w:space="0"/>
              <w:left w:val="single" w:color="000000" w:sz="12" w:space="0"/>
              <w:bottom w:val="single" w:color="000000" w:sz="4" w:space="0"/>
              <w:right w:val="single" w:color="000000" w:sz="4" w:space="0"/>
            </w:tcBorders>
            <w:shd w:val="clear" w:color="auto" w:fill="FFFFFF"/>
            <w:vAlign w:val="center"/>
          </w:tcPr>
          <w:p w14:paraId="39724242">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6</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EE42F79">
            <w:pPr>
              <w:pStyle w:val="57"/>
              <w:ind w:left="0" w:leftChars="0" w:firstLine="0" w:firstLineChars="0"/>
              <w:jc w:val="both"/>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基础冲刷</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EB2D16">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达到 0.7 倍设计冲刷深度</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F1573F">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2级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4F51CC49">
            <w:pPr>
              <w:pStyle w:val="57"/>
              <w:ind w:left="0" w:leftChars="0" w:firstLine="0" w:firstLineChars="0"/>
              <w:jc w:val="both"/>
              <w:rPr>
                <w:rFonts w:hint="eastAsia" w:ascii="宋体" w:hAnsi="宋体" w:eastAsia="宋体" w:cs="宋体"/>
                <w:b w:val="0"/>
                <w:color w:val="000000"/>
                <w:sz w:val="18"/>
                <w:szCs w:val="18"/>
                <w:vertAlign w:val="baseline"/>
              </w:rPr>
            </w:pPr>
          </w:p>
        </w:tc>
      </w:tr>
      <w:tr w14:paraId="7EDB4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vMerge w:val="continue"/>
            <w:tcBorders>
              <w:top w:val="single" w:color="000000" w:sz="4" w:space="0"/>
              <w:left w:val="single" w:color="000000" w:sz="12" w:space="0"/>
              <w:bottom w:val="single" w:color="000000" w:sz="4" w:space="0"/>
              <w:right w:val="single" w:color="000000" w:sz="4" w:space="0"/>
            </w:tcBorders>
            <w:shd w:val="clear" w:color="auto" w:fill="FFFFFF"/>
            <w:vAlign w:val="center"/>
          </w:tcPr>
          <w:p w14:paraId="40A6132D">
            <w:pPr>
              <w:pStyle w:val="57"/>
              <w:ind w:left="0" w:leftChars="0" w:firstLine="0" w:firstLineChars="0"/>
              <w:jc w:val="both"/>
              <w:rPr>
                <w:rFonts w:hint="eastAsia" w:ascii="宋体" w:hAnsi="宋体" w:eastAsia="宋体" w:cs="宋体"/>
                <w:b w:val="0"/>
                <w:color w:val="000000"/>
                <w:sz w:val="18"/>
                <w:szCs w:val="18"/>
                <w:vertAlign w:val="baseli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7400A9">
            <w:pPr>
              <w:pStyle w:val="57"/>
              <w:ind w:left="0" w:leftChars="0" w:firstLine="0" w:firstLineChars="0"/>
              <w:jc w:val="both"/>
              <w:rPr>
                <w:rFonts w:hint="eastAsia" w:ascii="宋体" w:hAnsi="宋体" w:eastAsia="宋体" w:cs="宋体"/>
                <w:b w:val="0"/>
                <w:color w:val="000000"/>
                <w:sz w:val="18"/>
                <w:szCs w:val="18"/>
                <w:vertAlign w:val="baseline"/>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597E81">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 xml:space="preserve">达到设计冲刷深度 </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9DCC9F">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3级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6E6D0D45">
            <w:pPr>
              <w:pStyle w:val="57"/>
              <w:ind w:left="0" w:leftChars="0" w:firstLine="0" w:firstLineChars="0"/>
              <w:jc w:val="both"/>
              <w:rPr>
                <w:rFonts w:hint="eastAsia" w:ascii="宋体" w:hAnsi="宋体" w:eastAsia="宋体" w:cs="宋体"/>
                <w:b w:val="0"/>
                <w:color w:val="000000"/>
                <w:sz w:val="18"/>
                <w:szCs w:val="18"/>
                <w:vertAlign w:val="baseline"/>
              </w:rPr>
            </w:pPr>
          </w:p>
        </w:tc>
      </w:tr>
      <w:tr w14:paraId="4A8E2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vMerge w:val="restart"/>
            <w:tcBorders>
              <w:top w:val="single" w:color="000000" w:sz="4" w:space="0"/>
              <w:left w:val="single" w:color="000000" w:sz="12" w:space="0"/>
              <w:bottom w:val="single" w:color="000000" w:sz="4" w:space="0"/>
              <w:right w:val="single" w:color="000000" w:sz="4" w:space="0"/>
            </w:tcBorders>
            <w:shd w:val="clear" w:color="auto" w:fill="FFFFFF"/>
            <w:vAlign w:val="center"/>
          </w:tcPr>
          <w:p w14:paraId="3EDCD916">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7</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0194BB1">
            <w:pPr>
              <w:keepNext w:val="0"/>
              <w:keepLines w:val="0"/>
              <w:widowControl/>
              <w:suppressLineNumbers w:val="0"/>
              <w:jc w:val="left"/>
              <w:rPr>
                <w:rFonts w:hint="eastAsia" w:ascii="宋体" w:hAnsi="宋体" w:eastAsia="宋体" w:cs="宋体"/>
                <w:b w:val="0"/>
                <w:color w:val="000000"/>
                <w:sz w:val="18"/>
                <w:szCs w:val="18"/>
                <w:vertAlign w:val="baseline"/>
                <w:lang w:val="en-US"/>
              </w:rPr>
            </w:pPr>
            <w:r>
              <w:rPr>
                <w:rFonts w:hint="eastAsia" w:ascii="宋体" w:hAnsi="宋体" w:eastAsia="宋体" w:cs="宋体"/>
                <w:b w:val="0"/>
                <w:color w:val="000000"/>
                <w:kern w:val="0"/>
                <w:sz w:val="18"/>
                <w:szCs w:val="18"/>
                <w:lang w:val="en-US" w:eastAsia="zh-CN" w:bidi="ar"/>
              </w:rPr>
              <w:t>位移、倾斜</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290E41">
            <w:pPr>
              <w:keepNext w:val="0"/>
              <w:keepLines w:val="0"/>
              <w:widowControl/>
              <w:suppressLineNumbers w:val="0"/>
              <w:jc w:val="left"/>
              <w:rPr>
                <w:rFonts w:hint="eastAsia" w:ascii="宋体" w:hAnsi="宋体" w:eastAsia="宋体" w:cs="宋体"/>
                <w:b w:val="0"/>
                <w:color w:val="000000"/>
                <w:sz w:val="18"/>
                <w:szCs w:val="18"/>
                <w:vertAlign w:val="baseline"/>
              </w:rPr>
            </w:pPr>
            <w:r>
              <w:rPr>
                <w:rFonts w:hint="eastAsia" w:ascii="宋体" w:hAnsi="宋体" w:eastAsia="宋体" w:cs="宋体"/>
                <w:b w:val="0"/>
                <w:color w:val="000000"/>
                <w:kern w:val="0"/>
                <w:sz w:val="18"/>
                <w:szCs w:val="18"/>
                <w:lang w:val="en-US" w:eastAsia="zh-CN" w:bidi="ar"/>
              </w:rPr>
              <w:t>达到 0.8 倍设计值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C70F4E">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2级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769020BE">
            <w:pPr>
              <w:pStyle w:val="57"/>
              <w:ind w:left="0" w:leftChars="0" w:firstLine="0" w:firstLineChars="0"/>
              <w:jc w:val="both"/>
              <w:rPr>
                <w:rFonts w:hint="eastAsia" w:ascii="宋体" w:hAnsi="宋体" w:eastAsia="宋体" w:cs="宋体"/>
                <w:b w:val="0"/>
                <w:color w:val="000000"/>
                <w:sz w:val="18"/>
                <w:szCs w:val="18"/>
                <w:vertAlign w:val="baseline"/>
              </w:rPr>
            </w:pPr>
          </w:p>
        </w:tc>
      </w:tr>
      <w:tr w14:paraId="053C7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vMerge w:val="continue"/>
            <w:tcBorders>
              <w:top w:val="single" w:color="000000" w:sz="4" w:space="0"/>
              <w:left w:val="single" w:color="000000" w:sz="12" w:space="0"/>
              <w:bottom w:val="single" w:color="000000" w:sz="4" w:space="0"/>
              <w:right w:val="single" w:color="000000" w:sz="4" w:space="0"/>
            </w:tcBorders>
            <w:shd w:val="clear" w:color="auto" w:fill="FFFFFF"/>
            <w:vAlign w:val="center"/>
          </w:tcPr>
          <w:p w14:paraId="18EAB81E">
            <w:pPr>
              <w:pStyle w:val="57"/>
              <w:ind w:left="0" w:leftChars="0" w:firstLine="0" w:firstLineChars="0"/>
              <w:jc w:val="both"/>
              <w:rPr>
                <w:rFonts w:hint="eastAsia" w:ascii="宋体" w:hAnsi="宋体" w:eastAsia="宋体" w:cs="宋体"/>
                <w:b w:val="0"/>
                <w:color w:val="000000"/>
                <w:sz w:val="18"/>
                <w:szCs w:val="18"/>
                <w:vertAlign w:val="baseli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D6CFAB8">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744915">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达到设计值或一个月内出现10次以上2级超限</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258C97">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3级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0ED1BBAE">
            <w:pPr>
              <w:pStyle w:val="57"/>
              <w:ind w:left="0" w:leftChars="0" w:firstLine="0" w:firstLineChars="0"/>
              <w:jc w:val="both"/>
              <w:rPr>
                <w:rFonts w:hint="eastAsia" w:ascii="宋体" w:hAnsi="宋体" w:eastAsia="宋体" w:cs="宋体"/>
                <w:b w:val="0"/>
                <w:color w:val="000000"/>
                <w:sz w:val="18"/>
                <w:szCs w:val="18"/>
                <w:vertAlign w:val="baseline"/>
              </w:rPr>
            </w:pPr>
          </w:p>
        </w:tc>
      </w:tr>
      <w:tr w14:paraId="668A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vMerge w:val="restart"/>
            <w:tcBorders>
              <w:top w:val="single" w:color="000000" w:sz="4" w:space="0"/>
              <w:left w:val="single" w:color="000000" w:sz="12" w:space="0"/>
              <w:bottom w:val="single" w:color="000000" w:sz="4" w:space="0"/>
              <w:right w:val="single" w:color="000000" w:sz="4" w:space="0"/>
            </w:tcBorders>
            <w:shd w:val="clear" w:color="auto" w:fill="FFFFFF"/>
            <w:vAlign w:val="center"/>
          </w:tcPr>
          <w:p w14:paraId="2C1581CD">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8</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A480CF2">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应力应变</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B67523">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超过历史最大值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A164F7">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1级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071E7DEE">
            <w:pPr>
              <w:pStyle w:val="57"/>
              <w:ind w:left="0" w:leftChars="0" w:firstLine="0" w:firstLineChars="0"/>
              <w:jc w:val="both"/>
              <w:rPr>
                <w:rFonts w:hint="eastAsia" w:ascii="宋体" w:hAnsi="宋体" w:eastAsia="宋体" w:cs="宋体"/>
                <w:b w:val="0"/>
                <w:color w:val="000000"/>
                <w:sz w:val="18"/>
                <w:szCs w:val="18"/>
                <w:vertAlign w:val="baseline"/>
              </w:rPr>
            </w:pPr>
          </w:p>
        </w:tc>
      </w:tr>
      <w:tr w14:paraId="0A056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vMerge w:val="continue"/>
            <w:tcBorders>
              <w:top w:val="single" w:color="000000" w:sz="4" w:space="0"/>
              <w:left w:val="single" w:color="000000" w:sz="12" w:space="0"/>
              <w:bottom w:val="single" w:color="000000" w:sz="4" w:space="0"/>
              <w:right w:val="single" w:color="000000" w:sz="4" w:space="0"/>
            </w:tcBorders>
            <w:shd w:val="clear" w:color="auto" w:fill="FFFFFF"/>
            <w:vAlign w:val="center"/>
          </w:tcPr>
          <w:p w14:paraId="13816512">
            <w:pPr>
              <w:pStyle w:val="57"/>
              <w:ind w:left="0" w:leftChars="0" w:firstLine="0" w:firstLineChars="0"/>
              <w:jc w:val="both"/>
              <w:rPr>
                <w:rFonts w:hint="eastAsia" w:ascii="宋体" w:hAnsi="宋体" w:eastAsia="宋体" w:cs="宋体"/>
                <w:b w:val="0"/>
                <w:color w:val="000000"/>
                <w:sz w:val="18"/>
                <w:szCs w:val="18"/>
                <w:vertAlign w:val="baseli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DDF88F6">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F7B602">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超过设计最不利工况计算值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45F356">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2级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4B4F8532">
            <w:pPr>
              <w:pStyle w:val="57"/>
              <w:ind w:left="0" w:leftChars="0" w:firstLine="0" w:firstLineChars="0"/>
              <w:jc w:val="both"/>
              <w:rPr>
                <w:rFonts w:hint="eastAsia" w:ascii="宋体" w:hAnsi="宋体" w:eastAsia="宋体" w:cs="宋体"/>
                <w:b w:val="0"/>
                <w:color w:val="000000"/>
                <w:sz w:val="18"/>
                <w:szCs w:val="18"/>
                <w:vertAlign w:val="baseline"/>
              </w:rPr>
            </w:pPr>
          </w:p>
        </w:tc>
      </w:tr>
      <w:tr w14:paraId="0D813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vMerge w:val="restart"/>
            <w:tcBorders>
              <w:top w:val="single" w:color="000000" w:sz="4" w:space="0"/>
              <w:left w:val="single" w:color="000000" w:sz="12" w:space="0"/>
              <w:bottom w:val="single" w:color="000000" w:sz="4" w:space="0"/>
              <w:right w:val="single" w:color="000000" w:sz="4" w:space="0"/>
            </w:tcBorders>
            <w:shd w:val="clear" w:color="auto" w:fill="FFFFFF"/>
            <w:vAlign w:val="center"/>
          </w:tcPr>
          <w:p w14:paraId="33AA7509">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9</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F481B90">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索力</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D0AB34">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达到 0.95 倍设计值</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9FB822">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2级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612F242D">
            <w:pPr>
              <w:pStyle w:val="57"/>
              <w:ind w:left="0" w:leftChars="0" w:firstLine="0" w:firstLineChars="0"/>
              <w:jc w:val="both"/>
              <w:rPr>
                <w:rFonts w:hint="eastAsia" w:ascii="宋体" w:hAnsi="宋体" w:eastAsia="宋体" w:cs="宋体"/>
                <w:b w:val="0"/>
                <w:color w:val="000000"/>
                <w:sz w:val="18"/>
                <w:szCs w:val="18"/>
                <w:vertAlign w:val="baseline"/>
              </w:rPr>
            </w:pPr>
          </w:p>
        </w:tc>
      </w:tr>
      <w:tr w14:paraId="32189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vMerge w:val="continue"/>
            <w:tcBorders>
              <w:top w:val="single" w:color="000000" w:sz="4" w:space="0"/>
              <w:left w:val="single" w:color="000000" w:sz="12" w:space="0"/>
              <w:bottom w:val="single" w:color="000000" w:sz="4" w:space="0"/>
              <w:right w:val="single" w:color="000000" w:sz="4" w:space="0"/>
            </w:tcBorders>
            <w:shd w:val="clear" w:color="auto" w:fill="FFFFFF"/>
            <w:vAlign w:val="center"/>
          </w:tcPr>
          <w:p w14:paraId="632F8E8D">
            <w:pPr>
              <w:pStyle w:val="57"/>
              <w:ind w:left="0" w:leftChars="0" w:firstLine="0" w:firstLineChars="0"/>
              <w:jc w:val="both"/>
              <w:rPr>
                <w:rFonts w:hint="eastAsia" w:ascii="宋体" w:hAnsi="宋体" w:eastAsia="宋体" w:cs="宋体"/>
                <w:b w:val="0"/>
                <w:color w:val="000000"/>
                <w:sz w:val="18"/>
                <w:szCs w:val="18"/>
                <w:vertAlign w:val="baseli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332239C">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4BC067">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超过设计值或一个月内出现10次以上2级超限</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7D95BD">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3级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68B2CE3B">
            <w:pPr>
              <w:pStyle w:val="57"/>
              <w:ind w:left="0" w:leftChars="0" w:firstLine="0" w:firstLineChars="0"/>
              <w:jc w:val="both"/>
              <w:rPr>
                <w:rFonts w:hint="eastAsia" w:ascii="宋体" w:hAnsi="宋体" w:eastAsia="宋体" w:cs="宋体"/>
                <w:b w:val="0"/>
                <w:color w:val="000000"/>
                <w:sz w:val="18"/>
                <w:szCs w:val="18"/>
                <w:vertAlign w:val="baseline"/>
              </w:rPr>
            </w:pPr>
          </w:p>
        </w:tc>
      </w:tr>
      <w:tr w14:paraId="2C20E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vMerge w:val="restart"/>
            <w:tcBorders>
              <w:top w:val="single" w:color="000000" w:sz="4" w:space="0"/>
              <w:left w:val="single" w:color="000000" w:sz="12" w:space="0"/>
              <w:bottom w:val="single" w:color="000000" w:sz="4" w:space="0"/>
              <w:right w:val="single" w:color="000000" w:sz="4" w:space="0"/>
            </w:tcBorders>
            <w:shd w:val="clear" w:color="auto" w:fill="FFFFFF"/>
            <w:vAlign w:val="center"/>
          </w:tcPr>
          <w:p w14:paraId="4218D5C3">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10</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924EE7B">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主梁振动加速度</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284934">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10min加速度达到舒适度限值且持续时间超过30min</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43B660">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1级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78F053FE">
            <w:pPr>
              <w:pStyle w:val="57"/>
              <w:ind w:left="0" w:leftChars="0" w:firstLine="0" w:firstLineChars="0"/>
              <w:jc w:val="both"/>
              <w:rPr>
                <w:rFonts w:hint="eastAsia" w:ascii="宋体" w:hAnsi="宋体" w:eastAsia="宋体" w:cs="宋体"/>
                <w:b w:val="0"/>
                <w:color w:val="000000"/>
                <w:sz w:val="18"/>
                <w:szCs w:val="18"/>
                <w:vertAlign w:val="baseline"/>
              </w:rPr>
            </w:pPr>
          </w:p>
        </w:tc>
      </w:tr>
      <w:tr w14:paraId="4C81C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vMerge w:val="continue"/>
            <w:tcBorders>
              <w:top w:val="single" w:color="000000" w:sz="4" w:space="0"/>
              <w:left w:val="single" w:color="000000" w:sz="12" w:space="0"/>
              <w:bottom w:val="single" w:color="000000" w:sz="4" w:space="0"/>
              <w:right w:val="single" w:color="000000" w:sz="4" w:space="0"/>
            </w:tcBorders>
            <w:shd w:val="clear" w:color="auto" w:fill="FFFFFF"/>
            <w:vAlign w:val="center"/>
          </w:tcPr>
          <w:p w14:paraId="1F944B32">
            <w:pPr>
              <w:pStyle w:val="57"/>
              <w:ind w:left="0" w:leftChars="0" w:firstLine="0" w:firstLineChars="0"/>
              <w:jc w:val="both"/>
              <w:rPr>
                <w:rFonts w:hint="eastAsia" w:ascii="宋体" w:hAnsi="宋体" w:eastAsia="宋体" w:cs="宋体"/>
                <w:b w:val="0"/>
                <w:color w:val="000000"/>
                <w:sz w:val="18"/>
                <w:szCs w:val="18"/>
                <w:vertAlign w:val="baseli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D9B9591">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D40038">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幅值持续增大,呈现发散特征</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9F8F3E">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2</w:t>
            </w:r>
            <w:r>
              <w:rPr>
                <w:rFonts w:hint="eastAsia" w:ascii="宋体" w:hAnsi="宋体" w:eastAsia="宋体" w:cs="宋体"/>
                <w:b w:val="0"/>
                <w:color w:val="000000"/>
                <w:sz w:val="18"/>
                <w:szCs w:val="18"/>
                <w:vertAlign w:val="baseline"/>
                <w:lang w:val="en-US" w:eastAsia="zh-CN"/>
              </w:rPr>
              <w:t>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65981233">
            <w:pPr>
              <w:pStyle w:val="57"/>
              <w:ind w:left="0" w:leftChars="0" w:firstLine="0" w:firstLineChars="0"/>
              <w:jc w:val="both"/>
              <w:rPr>
                <w:rFonts w:hint="eastAsia" w:ascii="宋体" w:hAnsi="宋体" w:eastAsia="宋体" w:cs="宋体"/>
                <w:b w:val="0"/>
                <w:color w:val="000000"/>
                <w:sz w:val="18"/>
                <w:szCs w:val="18"/>
                <w:vertAlign w:val="baseline"/>
              </w:rPr>
            </w:pPr>
          </w:p>
        </w:tc>
      </w:tr>
      <w:tr w14:paraId="74868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vMerge w:val="restart"/>
            <w:tcBorders>
              <w:top w:val="single" w:color="000000" w:sz="4" w:space="0"/>
              <w:left w:val="single" w:color="000000" w:sz="12" w:space="0"/>
              <w:bottom w:val="single" w:color="000000" w:sz="4" w:space="0"/>
              <w:right w:val="single" w:color="000000" w:sz="4" w:space="0"/>
            </w:tcBorders>
            <w:shd w:val="clear" w:color="auto" w:fill="FFFFFF"/>
            <w:vAlign w:val="center"/>
          </w:tcPr>
          <w:p w14:paraId="35BC92E9">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11</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C56D6DE">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裂缝</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11558E">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出现结构性裂缝</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D0E63A">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1级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6E996572">
            <w:pPr>
              <w:pStyle w:val="57"/>
              <w:ind w:left="0" w:leftChars="0" w:firstLine="0" w:firstLineChars="0"/>
              <w:jc w:val="both"/>
              <w:rPr>
                <w:rFonts w:hint="eastAsia" w:ascii="宋体" w:hAnsi="宋体" w:eastAsia="宋体" w:cs="宋体"/>
                <w:b w:val="0"/>
                <w:color w:val="000000"/>
                <w:sz w:val="18"/>
                <w:szCs w:val="18"/>
                <w:vertAlign w:val="baseline"/>
              </w:rPr>
            </w:pPr>
          </w:p>
        </w:tc>
      </w:tr>
      <w:tr w14:paraId="254D7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vMerge w:val="continue"/>
            <w:tcBorders>
              <w:top w:val="single" w:color="000000" w:sz="4" w:space="0"/>
              <w:left w:val="single" w:color="000000" w:sz="12" w:space="0"/>
              <w:bottom w:val="single" w:color="000000" w:sz="4" w:space="0"/>
              <w:right w:val="single" w:color="000000" w:sz="4" w:space="0"/>
            </w:tcBorders>
            <w:shd w:val="clear" w:color="auto" w:fill="FFFFFF"/>
            <w:vAlign w:val="center"/>
          </w:tcPr>
          <w:p w14:paraId="1381C40E">
            <w:pPr>
              <w:pStyle w:val="57"/>
              <w:ind w:left="0" w:leftChars="0" w:firstLine="0" w:firstLineChars="0"/>
              <w:jc w:val="center"/>
              <w:rPr>
                <w:rFonts w:hint="eastAsia" w:ascii="宋体" w:hAnsi="宋体" w:eastAsia="宋体" w:cs="宋体"/>
                <w:b w:val="0"/>
                <w:color w:val="000000"/>
                <w:sz w:val="18"/>
                <w:szCs w:val="18"/>
                <w:vertAlign w:val="baseli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E93226">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0E8148">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结构性裂缝超过规范限值或发展加速</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77386C">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2级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10BDD4E3">
            <w:pPr>
              <w:pStyle w:val="57"/>
              <w:ind w:left="0" w:leftChars="0" w:firstLine="0" w:firstLineChars="0"/>
              <w:jc w:val="both"/>
              <w:rPr>
                <w:rFonts w:hint="eastAsia" w:ascii="宋体" w:hAnsi="宋体" w:eastAsia="宋体" w:cs="宋体"/>
                <w:b w:val="0"/>
                <w:color w:val="000000"/>
                <w:sz w:val="18"/>
                <w:szCs w:val="18"/>
                <w:vertAlign w:val="baseline"/>
              </w:rPr>
            </w:pPr>
          </w:p>
        </w:tc>
      </w:tr>
      <w:tr w14:paraId="55BF5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000000" w:sz="4" w:space="0"/>
              <w:left w:val="single" w:color="000000" w:sz="12" w:space="0"/>
              <w:bottom w:val="single" w:color="000000" w:sz="4" w:space="0"/>
              <w:right w:val="single" w:color="000000" w:sz="4" w:space="0"/>
            </w:tcBorders>
            <w:shd w:val="clear" w:color="auto" w:fill="FFFFFF"/>
            <w:vAlign w:val="center"/>
          </w:tcPr>
          <w:p w14:paraId="4B0260A1">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12</w:t>
            </w:r>
          </w:p>
        </w:tc>
        <w:tc>
          <w:tcPr>
            <w:tcW w:w="20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E03811">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耐久度腐蚀</w:t>
            </w:r>
          </w:p>
        </w:tc>
        <w:tc>
          <w:tcPr>
            <w:tcW w:w="35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08D4DA">
            <w:pPr>
              <w:keepNext w:val="0"/>
              <w:keepLines w:val="0"/>
              <w:widowControl/>
              <w:suppressLineNumbers w:val="0"/>
              <w:jc w:val="left"/>
              <w:rPr>
                <w:rFonts w:hint="eastAsia" w:ascii="宋体" w:hAnsi="宋体" w:eastAsia="宋体" w:cs="宋体"/>
                <w:b w:val="0"/>
                <w:color w:val="000000"/>
                <w:kern w:val="0"/>
                <w:sz w:val="18"/>
                <w:szCs w:val="18"/>
                <w:lang w:val="en-US" w:eastAsia="zh-CN" w:bidi="ar"/>
              </w:rPr>
            </w:pPr>
            <w:r>
              <w:rPr>
                <w:rFonts w:hint="eastAsia" w:ascii="宋体" w:hAnsi="宋体" w:eastAsia="宋体" w:cs="宋体"/>
                <w:b w:val="0"/>
                <w:color w:val="000000"/>
                <w:kern w:val="0"/>
                <w:sz w:val="18"/>
                <w:szCs w:val="18"/>
                <w:lang w:val="en-US" w:eastAsia="zh-CN" w:bidi="ar"/>
              </w:rPr>
              <w:t>腐蚀深度达到保护层深度</w:t>
            </w:r>
          </w:p>
        </w:tc>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7050C8">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2级</w:t>
            </w:r>
          </w:p>
        </w:tc>
        <w:tc>
          <w:tcPr>
            <w:tcW w:w="1914"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2FC719D6">
            <w:pPr>
              <w:pStyle w:val="57"/>
              <w:ind w:left="0" w:leftChars="0" w:firstLine="0" w:firstLineChars="0"/>
              <w:jc w:val="both"/>
              <w:rPr>
                <w:rFonts w:hint="eastAsia" w:ascii="宋体" w:hAnsi="宋体" w:eastAsia="宋体" w:cs="宋体"/>
                <w:b w:val="0"/>
                <w:color w:val="000000"/>
                <w:sz w:val="18"/>
                <w:szCs w:val="18"/>
                <w:vertAlign w:val="baseline"/>
              </w:rPr>
            </w:pPr>
          </w:p>
        </w:tc>
      </w:tr>
      <w:tr w14:paraId="510BC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000000" w:sz="4" w:space="0"/>
              <w:left w:val="single" w:color="000000" w:sz="12" w:space="0"/>
              <w:bottom w:val="single" w:color="000000" w:sz="12" w:space="0"/>
              <w:right w:val="single" w:color="000000" w:sz="4" w:space="0"/>
            </w:tcBorders>
            <w:shd w:val="clear" w:color="auto" w:fill="FFFFFF"/>
            <w:vAlign w:val="center"/>
          </w:tcPr>
          <w:p w14:paraId="15954B37">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13</w:t>
            </w:r>
          </w:p>
        </w:tc>
        <w:tc>
          <w:tcPr>
            <w:tcW w:w="2045" w:type="dxa"/>
            <w:tcBorders>
              <w:top w:val="single" w:color="000000" w:sz="4" w:space="0"/>
              <w:left w:val="single" w:color="000000" w:sz="4" w:space="0"/>
              <w:bottom w:val="single" w:color="000000" w:sz="12" w:space="0"/>
              <w:right w:val="single" w:color="000000" w:sz="4" w:space="0"/>
            </w:tcBorders>
            <w:shd w:val="clear" w:color="auto" w:fill="FFFFFF"/>
            <w:vAlign w:val="center"/>
          </w:tcPr>
          <w:p w14:paraId="17293A8B">
            <w:pPr>
              <w:keepNext w:val="0"/>
              <w:keepLines w:val="0"/>
              <w:widowControl/>
              <w:suppressLineNumbers w:val="0"/>
              <w:jc w:val="both"/>
              <w:rPr>
                <w:rFonts w:hint="eastAsia" w:ascii="宋体" w:hAnsi="宋体" w:eastAsia="宋体" w:cs="宋体"/>
                <w:b w:val="0"/>
                <w:color w:val="000000"/>
                <w:kern w:val="0"/>
                <w:sz w:val="18"/>
                <w:szCs w:val="18"/>
                <w:lang w:val="en-US" w:eastAsia="zh-CN" w:bidi="ar"/>
              </w:rPr>
            </w:pPr>
            <w:r>
              <w:rPr>
                <w:rFonts w:hint="eastAsia" w:ascii="宋体" w:hAnsi="宋体" w:cs="宋体"/>
                <w:b w:val="0"/>
                <w:color w:val="000000"/>
                <w:kern w:val="0"/>
                <w:sz w:val="18"/>
                <w:szCs w:val="18"/>
                <w:lang w:val="en-US" w:eastAsia="zh-CN" w:bidi="ar"/>
              </w:rPr>
              <w:t>船舶撞击</w:t>
            </w:r>
          </w:p>
        </w:tc>
        <w:tc>
          <w:tcPr>
            <w:tcW w:w="3589" w:type="dxa"/>
            <w:tcBorders>
              <w:top w:val="single" w:color="000000" w:sz="4" w:space="0"/>
              <w:left w:val="single" w:color="000000" w:sz="4" w:space="0"/>
              <w:bottom w:val="single" w:color="000000" w:sz="12" w:space="0"/>
              <w:right w:val="single" w:color="000000" w:sz="4" w:space="0"/>
            </w:tcBorders>
            <w:shd w:val="clear" w:color="auto" w:fill="FFFFFF"/>
            <w:vAlign w:val="center"/>
          </w:tcPr>
          <w:p w14:paraId="406306F9">
            <w:pPr>
              <w:pStyle w:val="57"/>
              <w:ind w:left="0" w:leftChars="0" w:firstLine="0" w:firstLineChars="0"/>
              <w:jc w:val="both"/>
              <w:rPr>
                <w:rFonts w:hint="eastAsia" w:ascii="宋体" w:hAnsi="宋体" w:eastAsia="宋体" w:cs="宋体"/>
                <w:b w:val="0"/>
                <w:color w:val="000000"/>
                <w:kern w:val="0"/>
                <w:sz w:val="18"/>
                <w:szCs w:val="18"/>
                <w:lang w:val="en-US" w:eastAsia="zh-CN" w:bidi="ar"/>
              </w:rPr>
            </w:pPr>
            <w:r>
              <w:rPr>
                <w:rFonts w:hint="eastAsia" w:hAnsi="宋体" w:cs="宋体"/>
                <w:b w:val="0"/>
                <w:color w:val="000000"/>
                <w:sz w:val="18"/>
                <w:szCs w:val="18"/>
                <w:vertAlign w:val="baseline"/>
                <w:lang w:val="en-US" w:eastAsia="zh-CN"/>
              </w:rPr>
              <w:t>发生船舶撞击</w:t>
            </w:r>
          </w:p>
        </w:tc>
        <w:tc>
          <w:tcPr>
            <w:tcW w:w="1043" w:type="dxa"/>
            <w:tcBorders>
              <w:top w:val="single" w:color="000000" w:sz="4" w:space="0"/>
              <w:left w:val="single" w:color="000000" w:sz="4" w:space="0"/>
              <w:bottom w:val="single" w:color="000000" w:sz="12" w:space="0"/>
              <w:right w:val="single" w:color="000000" w:sz="4" w:space="0"/>
            </w:tcBorders>
            <w:shd w:val="clear" w:color="auto" w:fill="FFFFFF"/>
            <w:vAlign w:val="center"/>
          </w:tcPr>
          <w:p w14:paraId="28500099">
            <w:pPr>
              <w:pStyle w:val="57"/>
              <w:ind w:left="0" w:leftChars="0" w:firstLine="0" w:firstLineChars="0"/>
              <w:jc w:val="center"/>
              <w:rPr>
                <w:rFonts w:hint="eastAsia" w:ascii="宋体" w:hAnsi="宋体" w:eastAsia="宋体" w:cs="宋体"/>
                <w:b w:val="0"/>
                <w:color w:val="000000"/>
                <w:sz w:val="18"/>
                <w:szCs w:val="18"/>
                <w:vertAlign w:val="baseline"/>
                <w:lang w:val="en-US" w:eastAsia="zh-CN"/>
              </w:rPr>
            </w:pPr>
            <w:r>
              <w:rPr>
                <w:rFonts w:hint="eastAsia" w:hAnsi="宋体" w:cs="宋体"/>
                <w:b w:val="0"/>
                <w:color w:val="000000"/>
                <w:sz w:val="18"/>
                <w:szCs w:val="18"/>
                <w:vertAlign w:val="baseline"/>
                <w:lang w:val="en-US" w:eastAsia="zh-CN"/>
              </w:rPr>
              <w:t>2</w:t>
            </w:r>
            <w:r>
              <w:rPr>
                <w:rFonts w:hint="eastAsia" w:ascii="宋体" w:hAnsi="宋体" w:eastAsia="宋体" w:cs="宋体"/>
                <w:b w:val="0"/>
                <w:color w:val="000000"/>
                <w:sz w:val="18"/>
                <w:szCs w:val="18"/>
                <w:vertAlign w:val="baseline"/>
                <w:lang w:val="en-US" w:eastAsia="zh-CN"/>
              </w:rPr>
              <w:t>级</w:t>
            </w:r>
          </w:p>
        </w:tc>
        <w:tc>
          <w:tcPr>
            <w:tcW w:w="1914" w:type="dxa"/>
            <w:tcBorders>
              <w:top w:val="single" w:color="000000" w:sz="4" w:space="0"/>
              <w:left w:val="single" w:color="000000" w:sz="4" w:space="0"/>
              <w:bottom w:val="single" w:color="000000" w:sz="12" w:space="0"/>
              <w:right w:val="single" w:color="000000" w:sz="12" w:space="0"/>
            </w:tcBorders>
            <w:shd w:val="clear" w:color="auto" w:fill="FFFFFF"/>
            <w:vAlign w:val="center"/>
          </w:tcPr>
          <w:p w14:paraId="7AA364FF">
            <w:pPr>
              <w:pStyle w:val="57"/>
              <w:ind w:left="0" w:leftChars="0" w:firstLine="0" w:firstLineChars="0"/>
              <w:jc w:val="both"/>
              <w:rPr>
                <w:rFonts w:hint="eastAsia" w:ascii="宋体" w:hAnsi="宋体" w:eastAsia="宋体" w:cs="宋体"/>
                <w:b w:val="0"/>
                <w:color w:val="000000"/>
                <w:sz w:val="18"/>
                <w:szCs w:val="18"/>
                <w:vertAlign w:val="baseline"/>
              </w:rPr>
            </w:pPr>
          </w:p>
        </w:tc>
      </w:tr>
    </w:tbl>
    <w:p w14:paraId="524134CF">
      <w:pPr>
        <w:pStyle w:val="181"/>
        <w:numPr>
          <w:ilvl w:val="0"/>
          <w:numId w:val="39"/>
        </w:numPr>
        <w:rPr>
          <w:rFonts w:hint="eastAsia" w:hAnsi="宋体" w:cs="宋体"/>
          <w:color w:val="000000"/>
          <w:lang w:bidi="ar"/>
        </w:rPr>
      </w:pPr>
      <w:r>
        <w:rPr>
          <w:rFonts w:hint="eastAsia" w:hAnsi="宋体" w:cs="宋体"/>
          <w:color w:val="000000"/>
          <w:lang w:val="en-US" w:eastAsia="zh-CN" w:bidi="ar"/>
        </w:rPr>
        <w:t>超限阈值可根据内河水运设施的健康度和技术状况进行调整。</w:t>
      </w:r>
    </w:p>
    <w:p w14:paraId="0CCB69F3">
      <w:pPr>
        <w:pStyle w:val="181"/>
        <w:numPr>
          <w:ilvl w:val="0"/>
          <w:numId w:val="39"/>
        </w:numPr>
        <w:rPr>
          <w:rFonts w:hint="eastAsia"/>
        </w:rPr>
      </w:pPr>
      <w:r>
        <w:rPr>
          <w:rFonts w:hint="eastAsia" w:hAnsi="宋体" w:cs="宋体"/>
          <w:color w:val="000000"/>
          <w:lang w:bidi="ar"/>
        </w:rPr>
        <w:t>“超限阈值”一列中的“设计值”参考了JTG D60、JTG 5120</w:t>
      </w:r>
      <w:r>
        <w:rPr>
          <w:rFonts w:hint="eastAsia" w:hAnsi="宋体" w:cs="宋体"/>
          <w:color w:val="000000"/>
          <w:lang w:eastAsia="zh-CN" w:bidi="ar"/>
        </w:rPr>
        <w:t>、</w:t>
      </w:r>
      <w:r>
        <w:rPr>
          <w:rFonts w:hint="eastAsia" w:hAnsi="宋体" w:cs="宋体"/>
          <w:color w:val="000000"/>
          <w:lang w:bidi="ar"/>
        </w:rPr>
        <w:t>JTG/T H21的相关规定。</w:t>
      </w:r>
    </w:p>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E3206">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2D104">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43362">
    <w:pPr>
      <w:pStyle w:val="5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2FD464">
                          <w:pPr>
                            <w:pStyle w:val="53"/>
                          </w:pPr>
                          <w:r>
                            <w:fldChar w:fldCharType="begin"/>
                          </w:r>
                          <w:r>
                            <w:instrText xml:space="preserve">PAGE   \* MERGEFORMAT</w:instrText>
                          </w:r>
                          <w:r>
                            <w:fldChar w:fldCharType="separate"/>
                          </w:r>
                          <w:r>
                            <w:rPr>
                              <w:lang w:val="zh-CN"/>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82FD464">
                    <w:pPr>
                      <w:pStyle w:val="53"/>
                    </w:pPr>
                    <w:r>
                      <w:fldChar w:fldCharType="begin"/>
                    </w:r>
                    <w:r>
                      <w:instrText xml:space="preserve">PAGE   \* MERGEFORMAT</w:instrText>
                    </w:r>
                    <w:r>
                      <w:fldChar w:fldCharType="separate"/>
                    </w:r>
                    <w:r>
                      <w:rPr>
                        <w:lang w:val="zh-CN"/>
                      </w:rP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8906C">
    <w:pPr>
      <w:pStyle w:val="53"/>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57F17D">
                          <w:pPr>
                            <w:pStyle w:val="53"/>
                          </w:pPr>
                          <w:r>
                            <w:fldChar w:fldCharType="begin"/>
                          </w:r>
                          <w:r>
                            <w:instrText xml:space="preserve">PAGE   \* MERGEFORMAT</w:instrText>
                          </w:r>
                          <w:r>
                            <w:fldChar w:fldCharType="separate"/>
                          </w:r>
                          <w:r>
                            <w:rPr>
                              <w:lang w:val="zh-CN"/>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4457F17D">
                    <w:pPr>
                      <w:pStyle w:val="53"/>
                    </w:pPr>
                    <w:r>
                      <w:fldChar w:fldCharType="begin"/>
                    </w:r>
                    <w:r>
                      <w:instrText xml:space="preserve">PAGE   \* MERGEFORMAT</w:instrText>
                    </w:r>
                    <w:r>
                      <w:fldChar w:fldCharType="separate"/>
                    </w:r>
                    <w:r>
                      <w:rPr>
                        <w:lang w:val="zh-CN"/>
                      </w:rP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4CE0A">
    <w:pPr>
      <w:pStyle w:val="53"/>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89A3E6">
                          <w:pPr>
                            <w:pStyle w:val="53"/>
                          </w:pPr>
                          <w:r>
                            <w:fldChar w:fldCharType="begin"/>
                          </w:r>
                          <w:r>
                            <w:instrText xml:space="preserve">PAGE   \* MERGEFORMAT</w:instrText>
                          </w:r>
                          <w:r>
                            <w:fldChar w:fldCharType="separate"/>
                          </w:r>
                          <w:r>
                            <w:rPr>
                              <w:lang w:val="zh-CN"/>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6C89A3E6">
                    <w:pPr>
                      <w:pStyle w:val="53"/>
                    </w:pPr>
                    <w:r>
                      <w:fldChar w:fldCharType="begin"/>
                    </w:r>
                    <w:r>
                      <w:instrText xml:space="preserve">PAGE   \* MERGEFORMAT</w:instrText>
                    </w:r>
                    <w:r>
                      <w:fldChar w:fldCharType="separate"/>
                    </w:r>
                    <w:r>
                      <w:rPr>
                        <w:lang w:val="zh-CN"/>
                      </w:rP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A12D7">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60C43">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80E12">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77C22">
    <w:pPr>
      <w:pStyle w:val="62"/>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F97AC">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3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37"/>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992"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19"/>
  </w:num>
  <w:num w:numId="6">
    <w:abstractNumId w:val="14"/>
  </w:num>
  <w:num w:numId="7">
    <w:abstractNumId w:val="8"/>
  </w:num>
  <w:num w:numId="8">
    <w:abstractNumId w:val="3"/>
  </w:num>
  <w:num w:numId="9">
    <w:abstractNumId w:val="9"/>
  </w:num>
  <w:num w:numId="10">
    <w:abstractNumId w:val="17"/>
  </w:num>
  <w:num w:numId="11">
    <w:abstractNumId w:val="27"/>
  </w:num>
  <w:num w:numId="12">
    <w:abstractNumId w:val="12"/>
  </w:num>
  <w:num w:numId="13">
    <w:abstractNumId w:val="13"/>
  </w:num>
  <w:num w:numId="14">
    <w:abstractNumId w:val="7"/>
  </w:num>
  <w:num w:numId="15">
    <w:abstractNumId w:val="20"/>
  </w:num>
  <w:num w:numId="16">
    <w:abstractNumId w:val="23"/>
  </w:num>
  <w:num w:numId="17">
    <w:abstractNumId w:val="18"/>
  </w:num>
  <w:num w:numId="18">
    <w:abstractNumId w:val="31"/>
  </w:num>
  <w:num w:numId="19">
    <w:abstractNumId w:val="16"/>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10"/>
  </w:num>
  <w:num w:numId="33">
    <w:abstractNumId w:val="21"/>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0MmNjNmRmNGQ0Y2MwODFmZGU0NWZlZDhlYzAwN2UifQ=="/>
  </w:docVars>
  <w:rsids>
    <w:rsidRoot w:val="00DF6E88"/>
    <w:rsid w:val="0000040A"/>
    <w:rsid w:val="00000A94"/>
    <w:rsid w:val="00001972"/>
    <w:rsid w:val="00001D9A"/>
    <w:rsid w:val="00002C83"/>
    <w:rsid w:val="0000682B"/>
    <w:rsid w:val="00007B3A"/>
    <w:rsid w:val="000107E0"/>
    <w:rsid w:val="00011FDE"/>
    <w:rsid w:val="00012FFD"/>
    <w:rsid w:val="00014162"/>
    <w:rsid w:val="00014340"/>
    <w:rsid w:val="00016A9C"/>
    <w:rsid w:val="000179D2"/>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BB8"/>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1DE3"/>
    <w:rsid w:val="00082317"/>
    <w:rsid w:val="00083D2C"/>
    <w:rsid w:val="00086AA1"/>
    <w:rsid w:val="00087A77"/>
    <w:rsid w:val="00090CA6"/>
    <w:rsid w:val="00092B8A"/>
    <w:rsid w:val="00092FB0"/>
    <w:rsid w:val="000934C5"/>
    <w:rsid w:val="00093D25"/>
    <w:rsid w:val="00093DAB"/>
    <w:rsid w:val="00094087"/>
    <w:rsid w:val="00094D73"/>
    <w:rsid w:val="00096D63"/>
    <w:rsid w:val="000972D5"/>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C7A81"/>
    <w:rsid w:val="000D0A9C"/>
    <w:rsid w:val="000D1795"/>
    <w:rsid w:val="000D329A"/>
    <w:rsid w:val="000D4B9C"/>
    <w:rsid w:val="000D4EB6"/>
    <w:rsid w:val="000D6C14"/>
    <w:rsid w:val="000D753B"/>
    <w:rsid w:val="000E3210"/>
    <w:rsid w:val="000E4C9E"/>
    <w:rsid w:val="000E6FD7"/>
    <w:rsid w:val="000F06E1"/>
    <w:rsid w:val="000F0E3C"/>
    <w:rsid w:val="000F19D5"/>
    <w:rsid w:val="000F4AEA"/>
    <w:rsid w:val="000F633F"/>
    <w:rsid w:val="000F67E9"/>
    <w:rsid w:val="00104926"/>
    <w:rsid w:val="00113B1E"/>
    <w:rsid w:val="001169C8"/>
    <w:rsid w:val="0011711C"/>
    <w:rsid w:val="0012059C"/>
    <w:rsid w:val="00124E4F"/>
    <w:rsid w:val="001260B7"/>
    <w:rsid w:val="001265CB"/>
    <w:rsid w:val="0012715A"/>
    <w:rsid w:val="001321C6"/>
    <w:rsid w:val="001325C4"/>
    <w:rsid w:val="00133010"/>
    <w:rsid w:val="001338EE"/>
    <w:rsid w:val="00133AAE"/>
    <w:rsid w:val="00135323"/>
    <w:rsid w:val="001356C4"/>
    <w:rsid w:val="00141114"/>
    <w:rsid w:val="00142969"/>
    <w:rsid w:val="001446C2"/>
    <w:rsid w:val="001457E7"/>
    <w:rsid w:val="00145D9D"/>
    <w:rsid w:val="00146388"/>
    <w:rsid w:val="00151177"/>
    <w:rsid w:val="001529E5"/>
    <w:rsid w:val="00153C7E"/>
    <w:rsid w:val="00154FD7"/>
    <w:rsid w:val="00156B25"/>
    <w:rsid w:val="00156E1A"/>
    <w:rsid w:val="00157894"/>
    <w:rsid w:val="00157B55"/>
    <w:rsid w:val="00160227"/>
    <w:rsid w:val="001642FA"/>
    <w:rsid w:val="001649EB"/>
    <w:rsid w:val="00164BAF"/>
    <w:rsid w:val="00164FA8"/>
    <w:rsid w:val="00165065"/>
    <w:rsid w:val="00165434"/>
    <w:rsid w:val="0016580B"/>
    <w:rsid w:val="00165F49"/>
    <w:rsid w:val="00166B88"/>
    <w:rsid w:val="00166F06"/>
    <w:rsid w:val="0016770A"/>
    <w:rsid w:val="00170804"/>
    <w:rsid w:val="001708E9"/>
    <w:rsid w:val="00171724"/>
    <w:rsid w:val="0017340B"/>
    <w:rsid w:val="00173FB1"/>
    <w:rsid w:val="00176DFD"/>
    <w:rsid w:val="001852C9"/>
    <w:rsid w:val="00186305"/>
    <w:rsid w:val="00190087"/>
    <w:rsid w:val="001913C4"/>
    <w:rsid w:val="0019348F"/>
    <w:rsid w:val="00193A07"/>
    <w:rsid w:val="00194C95"/>
    <w:rsid w:val="00194D75"/>
    <w:rsid w:val="00195C34"/>
    <w:rsid w:val="00196EF5"/>
    <w:rsid w:val="001A1A53"/>
    <w:rsid w:val="001A234A"/>
    <w:rsid w:val="001A4CF3"/>
    <w:rsid w:val="001B06E8"/>
    <w:rsid w:val="001B71D0"/>
    <w:rsid w:val="001B71EE"/>
    <w:rsid w:val="001C04A8"/>
    <w:rsid w:val="001C183D"/>
    <w:rsid w:val="001C2C03"/>
    <w:rsid w:val="001C42F7"/>
    <w:rsid w:val="001C49E5"/>
    <w:rsid w:val="001C680C"/>
    <w:rsid w:val="001C7FEA"/>
    <w:rsid w:val="001D0499"/>
    <w:rsid w:val="001D0BBE"/>
    <w:rsid w:val="001D0ED4"/>
    <w:rsid w:val="001D212F"/>
    <w:rsid w:val="001D29D7"/>
    <w:rsid w:val="001D2DE7"/>
    <w:rsid w:val="001D411C"/>
    <w:rsid w:val="001E0B32"/>
    <w:rsid w:val="001E1B6A"/>
    <w:rsid w:val="001E1BA7"/>
    <w:rsid w:val="001E2484"/>
    <w:rsid w:val="001E3CC4"/>
    <w:rsid w:val="001E4882"/>
    <w:rsid w:val="001E73AB"/>
    <w:rsid w:val="001F092D"/>
    <w:rsid w:val="001F143A"/>
    <w:rsid w:val="001F1605"/>
    <w:rsid w:val="001F2508"/>
    <w:rsid w:val="001F344E"/>
    <w:rsid w:val="001F4816"/>
    <w:rsid w:val="001F4EE9"/>
    <w:rsid w:val="001F69B4"/>
    <w:rsid w:val="001F77C7"/>
    <w:rsid w:val="00200183"/>
    <w:rsid w:val="00200333"/>
    <w:rsid w:val="0020107D"/>
    <w:rsid w:val="00202AA4"/>
    <w:rsid w:val="002031F7"/>
    <w:rsid w:val="002040E6"/>
    <w:rsid w:val="0020527B"/>
    <w:rsid w:val="002057F4"/>
    <w:rsid w:val="00205F2C"/>
    <w:rsid w:val="002078F3"/>
    <w:rsid w:val="00210B15"/>
    <w:rsid w:val="002142EA"/>
    <w:rsid w:val="002204BB"/>
    <w:rsid w:val="00221B79"/>
    <w:rsid w:val="00221C6B"/>
    <w:rsid w:val="002253A1"/>
    <w:rsid w:val="00225CF8"/>
    <w:rsid w:val="0022794E"/>
    <w:rsid w:val="00233B8D"/>
    <w:rsid w:val="00233D64"/>
    <w:rsid w:val="0023482A"/>
    <w:rsid w:val="002359CB"/>
    <w:rsid w:val="00243540"/>
    <w:rsid w:val="0024497B"/>
    <w:rsid w:val="0024515B"/>
    <w:rsid w:val="00246021"/>
    <w:rsid w:val="0024666E"/>
    <w:rsid w:val="00246FA2"/>
    <w:rsid w:val="00247F52"/>
    <w:rsid w:val="00250B25"/>
    <w:rsid w:val="00250BBE"/>
    <w:rsid w:val="002515C2"/>
    <w:rsid w:val="0025194F"/>
    <w:rsid w:val="00261197"/>
    <w:rsid w:val="0026148A"/>
    <w:rsid w:val="00262696"/>
    <w:rsid w:val="00263D25"/>
    <w:rsid w:val="002643C3"/>
    <w:rsid w:val="00264A0C"/>
    <w:rsid w:val="002655EB"/>
    <w:rsid w:val="00266EEB"/>
    <w:rsid w:val="00267EF4"/>
    <w:rsid w:val="00270CB8"/>
    <w:rsid w:val="00272B08"/>
    <w:rsid w:val="00274B1A"/>
    <w:rsid w:val="002771AC"/>
    <w:rsid w:val="00281BB8"/>
    <w:rsid w:val="00281E9E"/>
    <w:rsid w:val="00282405"/>
    <w:rsid w:val="00285170"/>
    <w:rsid w:val="00285361"/>
    <w:rsid w:val="0028707C"/>
    <w:rsid w:val="00292D47"/>
    <w:rsid w:val="00292D60"/>
    <w:rsid w:val="00293B30"/>
    <w:rsid w:val="00294D34"/>
    <w:rsid w:val="00294E3B"/>
    <w:rsid w:val="00296193"/>
    <w:rsid w:val="00296C66"/>
    <w:rsid w:val="00296EBE"/>
    <w:rsid w:val="002974E3"/>
    <w:rsid w:val="002A084B"/>
    <w:rsid w:val="002A1260"/>
    <w:rsid w:val="002A1589"/>
    <w:rsid w:val="002A1608"/>
    <w:rsid w:val="002A25DC"/>
    <w:rsid w:val="002A2D8D"/>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289F"/>
    <w:rsid w:val="002C3532"/>
    <w:rsid w:val="002C3F07"/>
    <w:rsid w:val="002C5278"/>
    <w:rsid w:val="002C684D"/>
    <w:rsid w:val="002C7EBB"/>
    <w:rsid w:val="002D06C1"/>
    <w:rsid w:val="002D42B5"/>
    <w:rsid w:val="002D4F1A"/>
    <w:rsid w:val="002D6EC6"/>
    <w:rsid w:val="002D79AC"/>
    <w:rsid w:val="002E039D"/>
    <w:rsid w:val="002E4D5A"/>
    <w:rsid w:val="002E6326"/>
    <w:rsid w:val="002F0722"/>
    <w:rsid w:val="002F30E0"/>
    <w:rsid w:val="002F35E4"/>
    <w:rsid w:val="002F3730"/>
    <w:rsid w:val="002F38E1"/>
    <w:rsid w:val="002F7AF6"/>
    <w:rsid w:val="00300E63"/>
    <w:rsid w:val="00302F5F"/>
    <w:rsid w:val="0030441D"/>
    <w:rsid w:val="00305EBC"/>
    <w:rsid w:val="00306063"/>
    <w:rsid w:val="0030748E"/>
    <w:rsid w:val="00313B85"/>
    <w:rsid w:val="00317988"/>
    <w:rsid w:val="003206F6"/>
    <w:rsid w:val="003221B4"/>
    <w:rsid w:val="0032258D"/>
    <w:rsid w:val="00322E62"/>
    <w:rsid w:val="00324D13"/>
    <w:rsid w:val="00324D2A"/>
    <w:rsid w:val="00324EDD"/>
    <w:rsid w:val="003331E4"/>
    <w:rsid w:val="003354BE"/>
    <w:rsid w:val="003356C7"/>
    <w:rsid w:val="00336C64"/>
    <w:rsid w:val="00337162"/>
    <w:rsid w:val="0034194F"/>
    <w:rsid w:val="00343939"/>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0F5D"/>
    <w:rsid w:val="00371316"/>
    <w:rsid w:val="00375C0F"/>
    <w:rsid w:val="00376713"/>
    <w:rsid w:val="00381815"/>
    <w:rsid w:val="003819AF"/>
    <w:rsid w:val="003820E9"/>
    <w:rsid w:val="00382DE7"/>
    <w:rsid w:val="00384FFC"/>
    <w:rsid w:val="00385F9A"/>
    <w:rsid w:val="003872FC"/>
    <w:rsid w:val="00387ADC"/>
    <w:rsid w:val="00390020"/>
    <w:rsid w:val="003903D6"/>
    <w:rsid w:val="00390EE6"/>
    <w:rsid w:val="0039118F"/>
    <w:rsid w:val="00391E85"/>
    <w:rsid w:val="00392AD7"/>
    <w:rsid w:val="003938D9"/>
    <w:rsid w:val="00394376"/>
    <w:rsid w:val="003943FF"/>
    <w:rsid w:val="00395700"/>
    <w:rsid w:val="003974EB"/>
    <w:rsid w:val="00397CC5"/>
    <w:rsid w:val="003A1582"/>
    <w:rsid w:val="003A4077"/>
    <w:rsid w:val="003A5243"/>
    <w:rsid w:val="003B09AD"/>
    <w:rsid w:val="003B1F18"/>
    <w:rsid w:val="003B41F6"/>
    <w:rsid w:val="003B446B"/>
    <w:rsid w:val="003B5BF0"/>
    <w:rsid w:val="003B60BF"/>
    <w:rsid w:val="003B6BE3"/>
    <w:rsid w:val="003C010C"/>
    <w:rsid w:val="003C0A6C"/>
    <w:rsid w:val="003C14F8"/>
    <w:rsid w:val="003C5A43"/>
    <w:rsid w:val="003D0519"/>
    <w:rsid w:val="003D0FF6"/>
    <w:rsid w:val="003D262C"/>
    <w:rsid w:val="003D6B41"/>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07F8D"/>
    <w:rsid w:val="0041477A"/>
    <w:rsid w:val="004167A3"/>
    <w:rsid w:val="00423975"/>
    <w:rsid w:val="00432DAA"/>
    <w:rsid w:val="00434305"/>
    <w:rsid w:val="004344C2"/>
    <w:rsid w:val="00435DF7"/>
    <w:rsid w:val="00437654"/>
    <w:rsid w:val="0044083F"/>
    <w:rsid w:val="00441AE7"/>
    <w:rsid w:val="00443D07"/>
    <w:rsid w:val="00443E0A"/>
    <w:rsid w:val="00445574"/>
    <w:rsid w:val="00445925"/>
    <w:rsid w:val="004467FB"/>
    <w:rsid w:val="00452D6B"/>
    <w:rsid w:val="00454484"/>
    <w:rsid w:val="0045517B"/>
    <w:rsid w:val="004552E0"/>
    <w:rsid w:val="00455F43"/>
    <w:rsid w:val="00463B77"/>
    <w:rsid w:val="00463C7B"/>
    <w:rsid w:val="004644A6"/>
    <w:rsid w:val="004659BD"/>
    <w:rsid w:val="00470775"/>
    <w:rsid w:val="00471068"/>
    <w:rsid w:val="004746B1"/>
    <w:rsid w:val="00474E7F"/>
    <w:rsid w:val="0047583F"/>
    <w:rsid w:val="00475DE8"/>
    <w:rsid w:val="00481250"/>
    <w:rsid w:val="00481C44"/>
    <w:rsid w:val="00484936"/>
    <w:rsid w:val="00485C89"/>
    <w:rsid w:val="004868CF"/>
    <w:rsid w:val="00486BE3"/>
    <w:rsid w:val="004905E4"/>
    <w:rsid w:val="00490A89"/>
    <w:rsid w:val="00490AB4"/>
    <w:rsid w:val="00492F02"/>
    <w:rsid w:val="004939AE"/>
    <w:rsid w:val="00495E6F"/>
    <w:rsid w:val="00495F32"/>
    <w:rsid w:val="004A12DF"/>
    <w:rsid w:val="004A17E6"/>
    <w:rsid w:val="004A1BA8"/>
    <w:rsid w:val="004A3A5F"/>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4F8"/>
    <w:rsid w:val="004E4AA5"/>
    <w:rsid w:val="004E4AEE"/>
    <w:rsid w:val="004E59E3"/>
    <w:rsid w:val="004E6168"/>
    <w:rsid w:val="004E67C0"/>
    <w:rsid w:val="004E690A"/>
    <w:rsid w:val="004F391A"/>
    <w:rsid w:val="004F3CFB"/>
    <w:rsid w:val="004F51C6"/>
    <w:rsid w:val="004F6456"/>
    <w:rsid w:val="004F696E"/>
    <w:rsid w:val="004F6C71"/>
    <w:rsid w:val="00501139"/>
    <w:rsid w:val="00501ED8"/>
    <w:rsid w:val="0050363E"/>
    <w:rsid w:val="005039BC"/>
    <w:rsid w:val="005043BB"/>
    <w:rsid w:val="00504A3D"/>
    <w:rsid w:val="00505767"/>
    <w:rsid w:val="00505E9A"/>
    <w:rsid w:val="005073F0"/>
    <w:rsid w:val="00510A7B"/>
    <w:rsid w:val="00512F6E"/>
    <w:rsid w:val="00513038"/>
    <w:rsid w:val="00514174"/>
    <w:rsid w:val="00516088"/>
    <w:rsid w:val="00516B0B"/>
    <w:rsid w:val="005220EC"/>
    <w:rsid w:val="005221C3"/>
    <w:rsid w:val="00523F95"/>
    <w:rsid w:val="00524BEE"/>
    <w:rsid w:val="00524D65"/>
    <w:rsid w:val="00524D79"/>
    <w:rsid w:val="00525B16"/>
    <w:rsid w:val="00531DFA"/>
    <w:rsid w:val="00533D04"/>
    <w:rsid w:val="00534804"/>
    <w:rsid w:val="00534BDF"/>
    <w:rsid w:val="005354EA"/>
    <w:rsid w:val="0053585F"/>
    <w:rsid w:val="00535EC4"/>
    <w:rsid w:val="00535ED9"/>
    <w:rsid w:val="0053692B"/>
    <w:rsid w:val="00540739"/>
    <w:rsid w:val="00541853"/>
    <w:rsid w:val="00542553"/>
    <w:rsid w:val="00543BDA"/>
    <w:rsid w:val="005441CC"/>
    <w:rsid w:val="005479DA"/>
    <w:rsid w:val="00547BCC"/>
    <w:rsid w:val="00547C93"/>
    <w:rsid w:val="0055013B"/>
    <w:rsid w:val="00551F6F"/>
    <w:rsid w:val="005522BA"/>
    <w:rsid w:val="00555044"/>
    <w:rsid w:val="00561475"/>
    <w:rsid w:val="0056487B"/>
    <w:rsid w:val="00564FB9"/>
    <w:rsid w:val="00573D9E"/>
    <w:rsid w:val="005801E3"/>
    <w:rsid w:val="005803ED"/>
    <w:rsid w:val="00581802"/>
    <w:rsid w:val="005819BB"/>
    <w:rsid w:val="005836A8"/>
    <w:rsid w:val="0058409C"/>
    <w:rsid w:val="00584262"/>
    <w:rsid w:val="00586630"/>
    <w:rsid w:val="00587ADD"/>
    <w:rsid w:val="00591E27"/>
    <w:rsid w:val="00596160"/>
    <w:rsid w:val="005966E2"/>
    <w:rsid w:val="00597007"/>
    <w:rsid w:val="005A0966"/>
    <w:rsid w:val="005A1174"/>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63AA"/>
    <w:rsid w:val="005C7156"/>
    <w:rsid w:val="005D021E"/>
    <w:rsid w:val="005D033B"/>
    <w:rsid w:val="005D0C75"/>
    <w:rsid w:val="005D4171"/>
    <w:rsid w:val="005D6A95"/>
    <w:rsid w:val="005D6B2C"/>
    <w:rsid w:val="005D6D9C"/>
    <w:rsid w:val="005E2335"/>
    <w:rsid w:val="005E34CA"/>
    <w:rsid w:val="005E3C18"/>
    <w:rsid w:val="005E506C"/>
    <w:rsid w:val="005E6812"/>
    <w:rsid w:val="005E7881"/>
    <w:rsid w:val="005E78E0"/>
    <w:rsid w:val="005F0D9C"/>
    <w:rsid w:val="005F284E"/>
    <w:rsid w:val="005F4712"/>
    <w:rsid w:val="005F7683"/>
    <w:rsid w:val="00600BC3"/>
    <w:rsid w:val="006015CE"/>
    <w:rsid w:val="00604784"/>
    <w:rsid w:val="00606419"/>
    <w:rsid w:val="00607D29"/>
    <w:rsid w:val="00612952"/>
    <w:rsid w:val="00614CC1"/>
    <w:rsid w:val="0061513F"/>
    <w:rsid w:val="00615A9D"/>
    <w:rsid w:val="00617387"/>
    <w:rsid w:val="006205D6"/>
    <w:rsid w:val="00623EF5"/>
    <w:rsid w:val="006252D8"/>
    <w:rsid w:val="006259BC"/>
    <w:rsid w:val="0062636B"/>
    <w:rsid w:val="00630F94"/>
    <w:rsid w:val="00632182"/>
    <w:rsid w:val="00632AE0"/>
    <w:rsid w:val="00633C17"/>
    <w:rsid w:val="00634D9E"/>
    <w:rsid w:val="00636E3E"/>
    <w:rsid w:val="006379F7"/>
    <w:rsid w:val="00637E4D"/>
    <w:rsid w:val="00640620"/>
    <w:rsid w:val="00641A1F"/>
    <w:rsid w:val="00643EB4"/>
    <w:rsid w:val="00645904"/>
    <w:rsid w:val="00651ACB"/>
    <w:rsid w:val="00651C47"/>
    <w:rsid w:val="00652AB2"/>
    <w:rsid w:val="00653FED"/>
    <w:rsid w:val="00654EC0"/>
    <w:rsid w:val="0065525B"/>
    <w:rsid w:val="006556F4"/>
    <w:rsid w:val="00655D4F"/>
    <w:rsid w:val="00656D29"/>
    <w:rsid w:val="006640E5"/>
    <w:rsid w:val="006646F1"/>
    <w:rsid w:val="00664929"/>
    <w:rsid w:val="00664F62"/>
    <w:rsid w:val="006655E1"/>
    <w:rsid w:val="00672060"/>
    <w:rsid w:val="00672BFD"/>
    <w:rsid w:val="00676A03"/>
    <w:rsid w:val="006770F4"/>
    <w:rsid w:val="00677A84"/>
    <w:rsid w:val="0068026D"/>
    <w:rsid w:val="00680A27"/>
    <w:rsid w:val="00680BFE"/>
    <w:rsid w:val="006816A4"/>
    <w:rsid w:val="006819B8"/>
    <w:rsid w:val="006840A6"/>
    <w:rsid w:val="006850CD"/>
    <w:rsid w:val="00685AAB"/>
    <w:rsid w:val="00690E74"/>
    <w:rsid w:val="00695D22"/>
    <w:rsid w:val="006A07AA"/>
    <w:rsid w:val="006A25E5"/>
    <w:rsid w:val="006A2B46"/>
    <w:rsid w:val="006A336D"/>
    <w:rsid w:val="006A37B9"/>
    <w:rsid w:val="006A652F"/>
    <w:rsid w:val="006B2672"/>
    <w:rsid w:val="006B4229"/>
    <w:rsid w:val="006B54BF"/>
    <w:rsid w:val="006B5F44"/>
    <w:rsid w:val="006B5F90"/>
    <w:rsid w:val="006B62E4"/>
    <w:rsid w:val="006C1BBA"/>
    <w:rsid w:val="006C2079"/>
    <w:rsid w:val="006C25A2"/>
    <w:rsid w:val="006C5A62"/>
    <w:rsid w:val="006C5D68"/>
    <w:rsid w:val="006C6976"/>
    <w:rsid w:val="006C6DD0"/>
    <w:rsid w:val="006D04EA"/>
    <w:rsid w:val="006D0AB7"/>
    <w:rsid w:val="006D16C4"/>
    <w:rsid w:val="006D2067"/>
    <w:rsid w:val="006D3E96"/>
    <w:rsid w:val="006D4515"/>
    <w:rsid w:val="006D4BB1"/>
    <w:rsid w:val="006D6593"/>
    <w:rsid w:val="006E23EA"/>
    <w:rsid w:val="006F03A8"/>
    <w:rsid w:val="006F17DC"/>
    <w:rsid w:val="006F2ACA"/>
    <w:rsid w:val="006F2ADC"/>
    <w:rsid w:val="006F2BFE"/>
    <w:rsid w:val="006F31E9"/>
    <w:rsid w:val="006F6284"/>
    <w:rsid w:val="006F6333"/>
    <w:rsid w:val="006F6BB4"/>
    <w:rsid w:val="007002C5"/>
    <w:rsid w:val="007028F1"/>
    <w:rsid w:val="00704387"/>
    <w:rsid w:val="00705CC1"/>
    <w:rsid w:val="00707669"/>
    <w:rsid w:val="00707AAA"/>
    <w:rsid w:val="00711CBA"/>
    <w:rsid w:val="00711FB5"/>
    <w:rsid w:val="00712A01"/>
    <w:rsid w:val="00714F58"/>
    <w:rsid w:val="00722FBF"/>
    <w:rsid w:val="00722FC2"/>
    <w:rsid w:val="00724879"/>
    <w:rsid w:val="00724E1B"/>
    <w:rsid w:val="00725949"/>
    <w:rsid w:val="00727A34"/>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182"/>
    <w:rsid w:val="00746800"/>
    <w:rsid w:val="007501A8"/>
    <w:rsid w:val="00750D61"/>
    <w:rsid w:val="00750EE1"/>
    <w:rsid w:val="00752B4D"/>
    <w:rsid w:val="00753AFC"/>
    <w:rsid w:val="00755402"/>
    <w:rsid w:val="00755CF1"/>
    <w:rsid w:val="00756B26"/>
    <w:rsid w:val="00756EDF"/>
    <w:rsid w:val="00756FD3"/>
    <w:rsid w:val="00757D66"/>
    <w:rsid w:val="007600E3"/>
    <w:rsid w:val="00762541"/>
    <w:rsid w:val="00765C43"/>
    <w:rsid w:val="00765EFB"/>
    <w:rsid w:val="007671CA"/>
    <w:rsid w:val="00767C61"/>
    <w:rsid w:val="0077008A"/>
    <w:rsid w:val="00773C1F"/>
    <w:rsid w:val="00774DA4"/>
    <w:rsid w:val="00776599"/>
    <w:rsid w:val="0078001B"/>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1390"/>
    <w:rsid w:val="007B5A3D"/>
    <w:rsid w:val="007B5B95"/>
    <w:rsid w:val="007B5CBD"/>
    <w:rsid w:val="007B68EA"/>
    <w:rsid w:val="007B7453"/>
    <w:rsid w:val="007C1E8B"/>
    <w:rsid w:val="007C2D89"/>
    <w:rsid w:val="007C30C7"/>
    <w:rsid w:val="007C4593"/>
    <w:rsid w:val="007C5309"/>
    <w:rsid w:val="007C6069"/>
    <w:rsid w:val="007D06C4"/>
    <w:rsid w:val="007D1352"/>
    <w:rsid w:val="007D2508"/>
    <w:rsid w:val="007D346A"/>
    <w:rsid w:val="007D56CD"/>
    <w:rsid w:val="007D6518"/>
    <w:rsid w:val="007D76BD"/>
    <w:rsid w:val="007E0BF1"/>
    <w:rsid w:val="007E57BF"/>
    <w:rsid w:val="007F0ED8"/>
    <w:rsid w:val="007F0F63"/>
    <w:rsid w:val="007F42E1"/>
    <w:rsid w:val="007F4D16"/>
    <w:rsid w:val="007F75CE"/>
    <w:rsid w:val="008013A4"/>
    <w:rsid w:val="00801DBA"/>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263D"/>
    <w:rsid w:val="00823303"/>
    <w:rsid w:val="008233B2"/>
    <w:rsid w:val="00823A9F"/>
    <w:rsid w:val="00823C85"/>
    <w:rsid w:val="00824443"/>
    <w:rsid w:val="00825138"/>
    <w:rsid w:val="008269DD"/>
    <w:rsid w:val="00830621"/>
    <w:rsid w:val="0083348C"/>
    <w:rsid w:val="008373D3"/>
    <w:rsid w:val="008374D6"/>
    <w:rsid w:val="00840617"/>
    <w:rsid w:val="00840F84"/>
    <w:rsid w:val="00842A47"/>
    <w:rsid w:val="00843C13"/>
    <w:rsid w:val="008454F8"/>
    <w:rsid w:val="0085173A"/>
    <w:rsid w:val="00856316"/>
    <w:rsid w:val="008603CE"/>
    <w:rsid w:val="008620FC"/>
    <w:rsid w:val="008627A5"/>
    <w:rsid w:val="00863E05"/>
    <w:rsid w:val="00863FA8"/>
    <w:rsid w:val="00865ACA"/>
    <w:rsid w:val="00865D28"/>
    <w:rsid w:val="00865E2B"/>
    <w:rsid w:val="00865F85"/>
    <w:rsid w:val="00867C10"/>
    <w:rsid w:val="00870439"/>
    <w:rsid w:val="00870DA1"/>
    <w:rsid w:val="00883F93"/>
    <w:rsid w:val="008843B1"/>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4CD2"/>
    <w:rsid w:val="008A5532"/>
    <w:rsid w:val="008A57E6"/>
    <w:rsid w:val="008A6F81"/>
    <w:rsid w:val="008A769A"/>
    <w:rsid w:val="008B0477"/>
    <w:rsid w:val="008B0C9C"/>
    <w:rsid w:val="008B166D"/>
    <w:rsid w:val="008B17F4"/>
    <w:rsid w:val="008B1F2A"/>
    <w:rsid w:val="008B3615"/>
    <w:rsid w:val="008B492E"/>
    <w:rsid w:val="008B4AC4"/>
    <w:rsid w:val="008B50C8"/>
    <w:rsid w:val="008B5281"/>
    <w:rsid w:val="008B7E05"/>
    <w:rsid w:val="008C1797"/>
    <w:rsid w:val="008C219C"/>
    <w:rsid w:val="008C475E"/>
    <w:rsid w:val="008C4918"/>
    <w:rsid w:val="008C619A"/>
    <w:rsid w:val="008D0CE8"/>
    <w:rsid w:val="008D2D1D"/>
    <w:rsid w:val="008D2FBD"/>
    <w:rsid w:val="008D3826"/>
    <w:rsid w:val="008D453D"/>
    <w:rsid w:val="008D53AD"/>
    <w:rsid w:val="008D562B"/>
    <w:rsid w:val="008D5733"/>
    <w:rsid w:val="008D622B"/>
    <w:rsid w:val="008D666C"/>
    <w:rsid w:val="008D7249"/>
    <w:rsid w:val="008D7B54"/>
    <w:rsid w:val="008E0BD8"/>
    <w:rsid w:val="008E0C9D"/>
    <w:rsid w:val="008E1648"/>
    <w:rsid w:val="008E1B3E"/>
    <w:rsid w:val="008E2319"/>
    <w:rsid w:val="008E4BB6"/>
    <w:rsid w:val="008E5518"/>
    <w:rsid w:val="008E68F5"/>
    <w:rsid w:val="008E6A84"/>
    <w:rsid w:val="008F0CDC"/>
    <w:rsid w:val="008F17A3"/>
    <w:rsid w:val="008F1ED3"/>
    <w:rsid w:val="008F23A5"/>
    <w:rsid w:val="008F4C29"/>
    <w:rsid w:val="008F70BD"/>
    <w:rsid w:val="008F788F"/>
    <w:rsid w:val="008F7CD7"/>
    <w:rsid w:val="008F7EA2"/>
    <w:rsid w:val="00902722"/>
    <w:rsid w:val="009027BC"/>
    <w:rsid w:val="00904332"/>
    <w:rsid w:val="009062E6"/>
    <w:rsid w:val="00911BE5"/>
    <w:rsid w:val="00913CA9"/>
    <w:rsid w:val="009145AE"/>
    <w:rsid w:val="009146CE"/>
    <w:rsid w:val="00914CA7"/>
    <w:rsid w:val="00915C3E"/>
    <w:rsid w:val="009161A8"/>
    <w:rsid w:val="00922501"/>
    <w:rsid w:val="009245F5"/>
    <w:rsid w:val="009249EC"/>
    <w:rsid w:val="009273B3"/>
    <w:rsid w:val="009305B5"/>
    <w:rsid w:val="009429D5"/>
    <w:rsid w:val="00942BF1"/>
    <w:rsid w:val="009441BD"/>
    <w:rsid w:val="00945180"/>
    <w:rsid w:val="00945428"/>
    <w:rsid w:val="0094607B"/>
    <w:rsid w:val="00950F4B"/>
    <w:rsid w:val="00953604"/>
    <w:rsid w:val="00954343"/>
    <w:rsid w:val="0095496B"/>
    <w:rsid w:val="009610DC"/>
    <w:rsid w:val="00961490"/>
    <w:rsid w:val="0096241D"/>
    <w:rsid w:val="0096381A"/>
    <w:rsid w:val="00965E04"/>
    <w:rsid w:val="009674AD"/>
    <w:rsid w:val="00970CDC"/>
    <w:rsid w:val="00977010"/>
    <w:rsid w:val="00977D02"/>
    <w:rsid w:val="009809BB"/>
    <w:rsid w:val="00982588"/>
    <w:rsid w:val="0098364B"/>
    <w:rsid w:val="009911AF"/>
    <w:rsid w:val="00991875"/>
    <w:rsid w:val="00991F92"/>
    <w:rsid w:val="00992985"/>
    <w:rsid w:val="00992B1D"/>
    <w:rsid w:val="00993889"/>
    <w:rsid w:val="0099551B"/>
    <w:rsid w:val="009971D1"/>
    <w:rsid w:val="00997BF1"/>
    <w:rsid w:val="009A089C"/>
    <w:rsid w:val="009A118E"/>
    <w:rsid w:val="009A12B5"/>
    <w:rsid w:val="009A1ECD"/>
    <w:rsid w:val="009A21CD"/>
    <w:rsid w:val="009A278C"/>
    <w:rsid w:val="009A2BC2"/>
    <w:rsid w:val="009A42C1"/>
    <w:rsid w:val="009A5429"/>
    <w:rsid w:val="009A72AD"/>
    <w:rsid w:val="009A7C81"/>
    <w:rsid w:val="009B064C"/>
    <w:rsid w:val="009B09E0"/>
    <w:rsid w:val="009B0BC5"/>
    <w:rsid w:val="009B1247"/>
    <w:rsid w:val="009B46F9"/>
    <w:rsid w:val="009B6029"/>
    <w:rsid w:val="009B6971"/>
    <w:rsid w:val="009C27F1"/>
    <w:rsid w:val="009C3152"/>
    <w:rsid w:val="009C4CFA"/>
    <w:rsid w:val="009C5070"/>
    <w:rsid w:val="009D112C"/>
    <w:rsid w:val="009D47FA"/>
    <w:rsid w:val="009D4C5B"/>
    <w:rsid w:val="009D4F92"/>
    <w:rsid w:val="009D50D2"/>
    <w:rsid w:val="009D593F"/>
    <w:rsid w:val="009D6BCA"/>
    <w:rsid w:val="009D6E01"/>
    <w:rsid w:val="009E0F62"/>
    <w:rsid w:val="009E4A58"/>
    <w:rsid w:val="009E5A2D"/>
    <w:rsid w:val="009E5AB2"/>
    <w:rsid w:val="009E6219"/>
    <w:rsid w:val="009F03B3"/>
    <w:rsid w:val="009F2248"/>
    <w:rsid w:val="009F412B"/>
    <w:rsid w:val="00A0096C"/>
    <w:rsid w:val="00A01757"/>
    <w:rsid w:val="00A028C0"/>
    <w:rsid w:val="00A02BAE"/>
    <w:rsid w:val="00A03EB0"/>
    <w:rsid w:val="00A06A6B"/>
    <w:rsid w:val="00A07E47"/>
    <w:rsid w:val="00A129D0"/>
    <w:rsid w:val="00A12C33"/>
    <w:rsid w:val="00A138BA"/>
    <w:rsid w:val="00A14C8E"/>
    <w:rsid w:val="00A153D9"/>
    <w:rsid w:val="00A15F09"/>
    <w:rsid w:val="00A169B6"/>
    <w:rsid w:val="00A20C34"/>
    <w:rsid w:val="00A2271D"/>
    <w:rsid w:val="00A237D5"/>
    <w:rsid w:val="00A30EFC"/>
    <w:rsid w:val="00A31984"/>
    <w:rsid w:val="00A32D73"/>
    <w:rsid w:val="00A331BB"/>
    <w:rsid w:val="00A3367B"/>
    <w:rsid w:val="00A3597D"/>
    <w:rsid w:val="00A36DD1"/>
    <w:rsid w:val="00A4006C"/>
    <w:rsid w:val="00A40091"/>
    <w:rsid w:val="00A4030F"/>
    <w:rsid w:val="00A41C79"/>
    <w:rsid w:val="00A41CB5"/>
    <w:rsid w:val="00A42CDB"/>
    <w:rsid w:val="00A42CDF"/>
    <w:rsid w:val="00A4452E"/>
    <w:rsid w:val="00A4472C"/>
    <w:rsid w:val="00A44E69"/>
    <w:rsid w:val="00A4661E"/>
    <w:rsid w:val="00A55BD6"/>
    <w:rsid w:val="00A55D50"/>
    <w:rsid w:val="00A57142"/>
    <w:rsid w:val="00A57EE4"/>
    <w:rsid w:val="00A648CD"/>
    <w:rsid w:val="00A6537A"/>
    <w:rsid w:val="00A655FE"/>
    <w:rsid w:val="00A66538"/>
    <w:rsid w:val="00A67866"/>
    <w:rsid w:val="00A70B07"/>
    <w:rsid w:val="00A723F8"/>
    <w:rsid w:val="00A77CCB"/>
    <w:rsid w:val="00A83D8D"/>
    <w:rsid w:val="00A8446B"/>
    <w:rsid w:val="00A8473F"/>
    <w:rsid w:val="00A862D6"/>
    <w:rsid w:val="00A8715E"/>
    <w:rsid w:val="00A9295B"/>
    <w:rsid w:val="00A93B09"/>
    <w:rsid w:val="00A94247"/>
    <w:rsid w:val="00A952D7"/>
    <w:rsid w:val="00A95A3F"/>
    <w:rsid w:val="00A963F7"/>
    <w:rsid w:val="00A96AD8"/>
    <w:rsid w:val="00A96FEE"/>
    <w:rsid w:val="00AA052C"/>
    <w:rsid w:val="00AA1E45"/>
    <w:rsid w:val="00AA29F1"/>
    <w:rsid w:val="00AA4286"/>
    <w:rsid w:val="00AA456B"/>
    <w:rsid w:val="00AA57F5"/>
    <w:rsid w:val="00AA672E"/>
    <w:rsid w:val="00AA6EC9"/>
    <w:rsid w:val="00AB393D"/>
    <w:rsid w:val="00AB41D5"/>
    <w:rsid w:val="00AB6309"/>
    <w:rsid w:val="00AB6C5F"/>
    <w:rsid w:val="00AB7129"/>
    <w:rsid w:val="00AC27A6"/>
    <w:rsid w:val="00AC30F7"/>
    <w:rsid w:val="00AC3A5A"/>
    <w:rsid w:val="00AC4D95"/>
    <w:rsid w:val="00AC5DF4"/>
    <w:rsid w:val="00AC5FE2"/>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760E"/>
    <w:rsid w:val="00B049AF"/>
    <w:rsid w:val="00B07242"/>
    <w:rsid w:val="00B10534"/>
    <w:rsid w:val="00B113DB"/>
    <w:rsid w:val="00B11D8A"/>
    <w:rsid w:val="00B12981"/>
    <w:rsid w:val="00B147DD"/>
    <w:rsid w:val="00B156FD"/>
    <w:rsid w:val="00B1797A"/>
    <w:rsid w:val="00B21F61"/>
    <w:rsid w:val="00B261F1"/>
    <w:rsid w:val="00B265BC"/>
    <w:rsid w:val="00B31A9B"/>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473"/>
    <w:rsid w:val="00B56FBE"/>
    <w:rsid w:val="00B60ACF"/>
    <w:rsid w:val="00B619FF"/>
    <w:rsid w:val="00B62B58"/>
    <w:rsid w:val="00B65149"/>
    <w:rsid w:val="00B66567"/>
    <w:rsid w:val="00B66F52"/>
    <w:rsid w:val="00B66FE5"/>
    <w:rsid w:val="00B7156B"/>
    <w:rsid w:val="00B72880"/>
    <w:rsid w:val="00B758BF"/>
    <w:rsid w:val="00B76E8C"/>
    <w:rsid w:val="00B77EC8"/>
    <w:rsid w:val="00B82756"/>
    <w:rsid w:val="00B827A6"/>
    <w:rsid w:val="00B831CE"/>
    <w:rsid w:val="00B834C7"/>
    <w:rsid w:val="00B86677"/>
    <w:rsid w:val="00B87131"/>
    <w:rsid w:val="00B939B1"/>
    <w:rsid w:val="00B96D40"/>
    <w:rsid w:val="00B97386"/>
    <w:rsid w:val="00BA16A2"/>
    <w:rsid w:val="00BA263B"/>
    <w:rsid w:val="00BA42B2"/>
    <w:rsid w:val="00BA58D4"/>
    <w:rsid w:val="00BA5B9E"/>
    <w:rsid w:val="00BA65F7"/>
    <w:rsid w:val="00BA7C9A"/>
    <w:rsid w:val="00BB203B"/>
    <w:rsid w:val="00BB48C8"/>
    <w:rsid w:val="00BB5F8F"/>
    <w:rsid w:val="00BB657A"/>
    <w:rsid w:val="00BC1A4E"/>
    <w:rsid w:val="00BC2914"/>
    <w:rsid w:val="00BC4790"/>
    <w:rsid w:val="00BC5DC7"/>
    <w:rsid w:val="00BC6B8B"/>
    <w:rsid w:val="00BC73D8"/>
    <w:rsid w:val="00BD52D7"/>
    <w:rsid w:val="00BD5AD2"/>
    <w:rsid w:val="00BE07A8"/>
    <w:rsid w:val="00BE22F3"/>
    <w:rsid w:val="00BE2AC9"/>
    <w:rsid w:val="00BE4206"/>
    <w:rsid w:val="00BE5581"/>
    <w:rsid w:val="00BE5B52"/>
    <w:rsid w:val="00BE7B8D"/>
    <w:rsid w:val="00BF0993"/>
    <w:rsid w:val="00BF10A9"/>
    <w:rsid w:val="00BF1703"/>
    <w:rsid w:val="00BF231C"/>
    <w:rsid w:val="00BF3391"/>
    <w:rsid w:val="00BF431C"/>
    <w:rsid w:val="00BF51E5"/>
    <w:rsid w:val="00BF74A6"/>
    <w:rsid w:val="00C013AD"/>
    <w:rsid w:val="00C04904"/>
    <w:rsid w:val="00C056B3"/>
    <w:rsid w:val="00C077B2"/>
    <w:rsid w:val="00C103E5"/>
    <w:rsid w:val="00C13319"/>
    <w:rsid w:val="00C13EE9"/>
    <w:rsid w:val="00C21540"/>
    <w:rsid w:val="00C21906"/>
    <w:rsid w:val="00C21BFA"/>
    <w:rsid w:val="00C22148"/>
    <w:rsid w:val="00C243D5"/>
    <w:rsid w:val="00C24C8D"/>
    <w:rsid w:val="00C25200"/>
    <w:rsid w:val="00C25FE2"/>
    <w:rsid w:val="00C26B53"/>
    <w:rsid w:val="00C279B2"/>
    <w:rsid w:val="00C303E4"/>
    <w:rsid w:val="00C33E50"/>
    <w:rsid w:val="00C34C20"/>
    <w:rsid w:val="00C35A3E"/>
    <w:rsid w:val="00C40A03"/>
    <w:rsid w:val="00C42130"/>
    <w:rsid w:val="00C423A4"/>
    <w:rsid w:val="00C44BF5"/>
    <w:rsid w:val="00C47C2B"/>
    <w:rsid w:val="00C521D6"/>
    <w:rsid w:val="00C52576"/>
    <w:rsid w:val="00C55232"/>
    <w:rsid w:val="00C553A4"/>
    <w:rsid w:val="00C55A06"/>
    <w:rsid w:val="00C55D03"/>
    <w:rsid w:val="00C601BC"/>
    <w:rsid w:val="00C621F2"/>
    <w:rsid w:val="00C6329F"/>
    <w:rsid w:val="00C63340"/>
    <w:rsid w:val="00C643F9"/>
    <w:rsid w:val="00C64E95"/>
    <w:rsid w:val="00C71372"/>
    <w:rsid w:val="00C72410"/>
    <w:rsid w:val="00C7287F"/>
    <w:rsid w:val="00C80CB8"/>
    <w:rsid w:val="00C819F8"/>
    <w:rsid w:val="00C8248C"/>
    <w:rsid w:val="00C84125"/>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91A"/>
    <w:rsid w:val="00CB2C0B"/>
    <w:rsid w:val="00CB517D"/>
    <w:rsid w:val="00CC038D"/>
    <w:rsid w:val="00CC08DB"/>
    <w:rsid w:val="00CC10BD"/>
    <w:rsid w:val="00CC39FF"/>
    <w:rsid w:val="00CC3C2F"/>
    <w:rsid w:val="00CC4AC8"/>
    <w:rsid w:val="00CC5233"/>
    <w:rsid w:val="00CC5DE6"/>
    <w:rsid w:val="00CC64F8"/>
    <w:rsid w:val="00CC6E4E"/>
    <w:rsid w:val="00CC6FE8"/>
    <w:rsid w:val="00CC7202"/>
    <w:rsid w:val="00CD2808"/>
    <w:rsid w:val="00CD28BF"/>
    <w:rsid w:val="00CD4092"/>
    <w:rsid w:val="00CD4A20"/>
    <w:rsid w:val="00CD50A1"/>
    <w:rsid w:val="00CD519E"/>
    <w:rsid w:val="00CD561D"/>
    <w:rsid w:val="00CD712B"/>
    <w:rsid w:val="00CE0C4F"/>
    <w:rsid w:val="00CE306B"/>
    <w:rsid w:val="00CE30EA"/>
    <w:rsid w:val="00CF048A"/>
    <w:rsid w:val="00CF155A"/>
    <w:rsid w:val="00CF2947"/>
    <w:rsid w:val="00CF686F"/>
    <w:rsid w:val="00CF6E60"/>
    <w:rsid w:val="00CF7BCA"/>
    <w:rsid w:val="00D008FD"/>
    <w:rsid w:val="00D0321C"/>
    <w:rsid w:val="00D035EC"/>
    <w:rsid w:val="00D04224"/>
    <w:rsid w:val="00D06AB1"/>
    <w:rsid w:val="00D06CD8"/>
    <w:rsid w:val="00D072ED"/>
    <w:rsid w:val="00D07A16"/>
    <w:rsid w:val="00D1067E"/>
    <w:rsid w:val="00D10F50"/>
    <w:rsid w:val="00D11272"/>
    <w:rsid w:val="00D11B47"/>
    <w:rsid w:val="00D126F5"/>
    <w:rsid w:val="00D14269"/>
    <w:rsid w:val="00D1489E"/>
    <w:rsid w:val="00D20737"/>
    <w:rsid w:val="00D21E81"/>
    <w:rsid w:val="00D223DE"/>
    <w:rsid w:val="00D25E37"/>
    <w:rsid w:val="00D2661A"/>
    <w:rsid w:val="00D27582"/>
    <w:rsid w:val="00D27EC4"/>
    <w:rsid w:val="00D27FD7"/>
    <w:rsid w:val="00D32719"/>
    <w:rsid w:val="00D33333"/>
    <w:rsid w:val="00D33457"/>
    <w:rsid w:val="00D33DFE"/>
    <w:rsid w:val="00D34849"/>
    <w:rsid w:val="00D352A2"/>
    <w:rsid w:val="00D40B4D"/>
    <w:rsid w:val="00D4162B"/>
    <w:rsid w:val="00D4514F"/>
    <w:rsid w:val="00D451E2"/>
    <w:rsid w:val="00D45E89"/>
    <w:rsid w:val="00D45E8D"/>
    <w:rsid w:val="00D466AE"/>
    <w:rsid w:val="00D4734F"/>
    <w:rsid w:val="00D51BF3"/>
    <w:rsid w:val="00D57571"/>
    <w:rsid w:val="00D61F92"/>
    <w:rsid w:val="00D66846"/>
    <w:rsid w:val="00D675FB"/>
    <w:rsid w:val="00D67A16"/>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477D"/>
    <w:rsid w:val="00DA5191"/>
    <w:rsid w:val="00DA64F8"/>
    <w:rsid w:val="00DA6C15"/>
    <w:rsid w:val="00DB0258"/>
    <w:rsid w:val="00DB38EE"/>
    <w:rsid w:val="00DB498B"/>
    <w:rsid w:val="00DB5500"/>
    <w:rsid w:val="00DB66CA"/>
    <w:rsid w:val="00DB6BCA"/>
    <w:rsid w:val="00DB73F7"/>
    <w:rsid w:val="00DC0321"/>
    <w:rsid w:val="00DC1C46"/>
    <w:rsid w:val="00DC3067"/>
    <w:rsid w:val="00DC370B"/>
    <w:rsid w:val="00DC5B90"/>
    <w:rsid w:val="00DD00FF"/>
    <w:rsid w:val="00DD0619"/>
    <w:rsid w:val="00DD07FB"/>
    <w:rsid w:val="00DD25C6"/>
    <w:rsid w:val="00DD4FE5"/>
    <w:rsid w:val="00DD54B0"/>
    <w:rsid w:val="00DD57EE"/>
    <w:rsid w:val="00DD6BCC"/>
    <w:rsid w:val="00DE0A4B"/>
    <w:rsid w:val="00DE153C"/>
    <w:rsid w:val="00DE20CC"/>
    <w:rsid w:val="00DE2410"/>
    <w:rsid w:val="00DE2939"/>
    <w:rsid w:val="00DE3A16"/>
    <w:rsid w:val="00DE6E81"/>
    <w:rsid w:val="00DE703F"/>
    <w:rsid w:val="00DE7595"/>
    <w:rsid w:val="00DF0C5A"/>
    <w:rsid w:val="00DF1961"/>
    <w:rsid w:val="00DF44DE"/>
    <w:rsid w:val="00DF5A61"/>
    <w:rsid w:val="00DF5F11"/>
    <w:rsid w:val="00DF6E88"/>
    <w:rsid w:val="00E01138"/>
    <w:rsid w:val="00E02DFB"/>
    <w:rsid w:val="00E030F9"/>
    <w:rsid w:val="00E0311A"/>
    <w:rsid w:val="00E03138"/>
    <w:rsid w:val="00E03F96"/>
    <w:rsid w:val="00E06404"/>
    <w:rsid w:val="00E065D2"/>
    <w:rsid w:val="00E11A85"/>
    <w:rsid w:val="00E12495"/>
    <w:rsid w:val="00E15CCD"/>
    <w:rsid w:val="00E202EF"/>
    <w:rsid w:val="00E210B5"/>
    <w:rsid w:val="00E23D99"/>
    <w:rsid w:val="00E2552F"/>
    <w:rsid w:val="00E3137A"/>
    <w:rsid w:val="00E32CCF"/>
    <w:rsid w:val="00E34A98"/>
    <w:rsid w:val="00E34BE5"/>
    <w:rsid w:val="00E35D1E"/>
    <w:rsid w:val="00E364F9"/>
    <w:rsid w:val="00E365FA"/>
    <w:rsid w:val="00E36789"/>
    <w:rsid w:val="00E40A61"/>
    <w:rsid w:val="00E4368B"/>
    <w:rsid w:val="00E44A83"/>
    <w:rsid w:val="00E502C1"/>
    <w:rsid w:val="00E502DD"/>
    <w:rsid w:val="00E50D3A"/>
    <w:rsid w:val="00E51387"/>
    <w:rsid w:val="00E51E68"/>
    <w:rsid w:val="00E52EFD"/>
    <w:rsid w:val="00E5408A"/>
    <w:rsid w:val="00E54D6C"/>
    <w:rsid w:val="00E56800"/>
    <w:rsid w:val="00E6050B"/>
    <w:rsid w:val="00E60C63"/>
    <w:rsid w:val="00E62FF9"/>
    <w:rsid w:val="00E635D6"/>
    <w:rsid w:val="00E639BC"/>
    <w:rsid w:val="00E664CC"/>
    <w:rsid w:val="00E70388"/>
    <w:rsid w:val="00E70F92"/>
    <w:rsid w:val="00E726AF"/>
    <w:rsid w:val="00E73D35"/>
    <w:rsid w:val="00E74C54"/>
    <w:rsid w:val="00E77A03"/>
    <w:rsid w:val="00E822E8"/>
    <w:rsid w:val="00E82554"/>
    <w:rsid w:val="00E82606"/>
    <w:rsid w:val="00E846C8"/>
    <w:rsid w:val="00E84957"/>
    <w:rsid w:val="00E84A55"/>
    <w:rsid w:val="00E84C02"/>
    <w:rsid w:val="00E85779"/>
    <w:rsid w:val="00E85BFF"/>
    <w:rsid w:val="00E879DE"/>
    <w:rsid w:val="00E90391"/>
    <w:rsid w:val="00E906C2"/>
    <w:rsid w:val="00E9311F"/>
    <w:rsid w:val="00E934D1"/>
    <w:rsid w:val="00E93CC0"/>
    <w:rsid w:val="00E94AF0"/>
    <w:rsid w:val="00E95D13"/>
    <w:rsid w:val="00E95DD3"/>
    <w:rsid w:val="00E969D5"/>
    <w:rsid w:val="00EA4964"/>
    <w:rsid w:val="00EA54BD"/>
    <w:rsid w:val="00EA58D1"/>
    <w:rsid w:val="00EA61BC"/>
    <w:rsid w:val="00EA681A"/>
    <w:rsid w:val="00EA735B"/>
    <w:rsid w:val="00EB17DE"/>
    <w:rsid w:val="00EB1E69"/>
    <w:rsid w:val="00EB2086"/>
    <w:rsid w:val="00EB5EDF"/>
    <w:rsid w:val="00EB60FE"/>
    <w:rsid w:val="00EB74DB"/>
    <w:rsid w:val="00EC041F"/>
    <w:rsid w:val="00EC520E"/>
    <w:rsid w:val="00EC5359"/>
    <w:rsid w:val="00EC562A"/>
    <w:rsid w:val="00ED067A"/>
    <w:rsid w:val="00ED2B50"/>
    <w:rsid w:val="00EE0350"/>
    <w:rsid w:val="00EE0719"/>
    <w:rsid w:val="00EE0E80"/>
    <w:rsid w:val="00EE54A6"/>
    <w:rsid w:val="00EE613F"/>
    <w:rsid w:val="00EE7295"/>
    <w:rsid w:val="00EE7869"/>
    <w:rsid w:val="00EF054A"/>
    <w:rsid w:val="00EF3235"/>
    <w:rsid w:val="00EF7950"/>
    <w:rsid w:val="00EF7E72"/>
    <w:rsid w:val="00F06D37"/>
    <w:rsid w:val="00F07B9D"/>
    <w:rsid w:val="00F11586"/>
    <w:rsid w:val="00F1183B"/>
    <w:rsid w:val="00F11C9F"/>
    <w:rsid w:val="00F12263"/>
    <w:rsid w:val="00F1409D"/>
    <w:rsid w:val="00F14214"/>
    <w:rsid w:val="00F157A9"/>
    <w:rsid w:val="00F25BB6"/>
    <w:rsid w:val="00F26B7E"/>
    <w:rsid w:val="00F27A3B"/>
    <w:rsid w:val="00F27C63"/>
    <w:rsid w:val="00F33817"/>
    <w:rsid w:val="00F420D5"/>
    <w:rsid w:val="00F435A2"/>
    <w:rsid w:val="00F451EA"/>
    <w:rsid w:val="00F45447"/>
    <w:rsid w:val="00F456C6"/>
    <w:rsid w:val="00F4577B"/>
    <w:rsid w:val="00F46496"/>
    <w:rsid w:val="00F474D0"/>
    <w:rsid w:val="00F50179"/>
    <w:rsid w:val="00F515EE"/>
    <w:rsid w:val="00F54F8B"/>
    <w:rsid w:val="00F56511"/>
    <w:rsid w:val="00F56C2E"/>
    <w:rsid w:val="00F6096E"/>
    <w:rsid w:val="00F6194E"/>
    <w:rsid w:val="00F623AC"/>
    <w:rsid w:val="00F6412A"/>
    <w:rsid w:val="00F65893"/>
    <w:rsid w:val="00F66A4A"/>
    <w:rsid w:val="00F71E22"/>
    <w:rsid w:val="00F72142"/>
    <w:rsid w:val="00F72AE7"/>
    <w:rsid w:val="00F74064"/>
    <w:rsid w:val="00F81141"/>
    <w:rsid w:val="00F833BA"/>
    <w:rsid w:val="00F8468B"/>
    <w:rsid w:val="00F84FD0"/>
    <w:rsid w:val="00F859A8"/>
    <w:rsid w:val="00F86D87"/>
    <w:rsid w:val="00F9108B"/>
    <w:rsid w:val="00F91349"/>
    <w:rsid w:val="00F930C3"/>
    <w:rsid w:val="00F93A8A"/>
    <w:rsid w:val="00F95248"/>
    <w:rsid w:val="00F956A9"/>
    <w:rsid w:val="00F963ED"/>
    <w:rsid w:val="00F966CF"/>
    <w:rsid w:val="00F96CAE"/>
    <w:rsid w:val="00F97C99"/>
    <w:rsid w:val="00FA0DC3"/>
    <w:rsid w:val="00FA172E"/>
    <w:rsid w:val="00FA4DAC"/>
    <w:rsid w:val="00FA662D"/>
    <w:rsid w:val="00FA6997"/>
    <w:rsid w:val="00FA73B1"/>
    <w:rsid w:val="00FB0CB9"/>
    <w:rsid w:val="00FB231D"/>
    <w:rsid w:val="00FB36BD"/>
    <w:rsid w:val="00FB3AE7"/>
    <w:rsid w:val="00FB45F1"/>
    <w:rsid w:val="00FB4A72"/>
    <w:rsid w:val="00FB54E8"/>
    <w:rsid w:val="00FB7054"/>
    <w:rsid w:val="00FC17B7"/>
    <w:rsid w:val="00FC2CB7"/>
    <w:rsid w:val="00FC4090"/>
    <w:rsid w:val="00FC55B4"/>
    <w:rsid w:val="00FD00E6"/>
    <w:rsid w:val="00FD09A1"/>
    <w:rsid w:val="00FD2A7C"/>
    <w:rsid w:val="00FD59EB"/>
    <w:rsid w:val="00FD7299"/>
    <w:rsid w:val="00FE02C4"/>
    <w:rsid w:val="00FE1FBE"/>
    <w:rsid w:val="00FE3901"/>
    <w:rsid w:val="00FE39D3"/>
    <w:rsid w:val="00FE4BCE"/>
    <w:rsid w:val="00FE54AE"/>
    <w:rsid w:val="00FE576A"/>
    <w:rsid w:val="00FE5E3F"/>
    <w:rsid w:val="00FE7E79"/>
    <w:rsid w:val="00FF3E7D"/>
    <w:rsid w:val="00FF5B99"/>
    <w:rsid w:val="00FF730C"/>
    <w:rsid w:val="00FF73F4"/>
    <w:rsid w:val="00FF7CE4"/>
    <w:rsid w:val="00FF7E39"/>
    <w:rsid w:val="01C8285E"/>
    <w:rsid w:val="026A66F4"/>
    <w:rsid w:val="02F4124E"/>
    <w:rsid w:val="0305345B"/>
    <w:rsid w:val="033F48F1"/>
    <w:rsid w:val="056D178C"/>
    <w:rsid w:val="06971860"/>
    <w:rsid w:val="07AE2C47"/>
    <w:rsid w:val="0A165F4E"/>
    <w:rsid w:val="0B9E269F"/>
    <w:rsid w:val="0BD55995"/>
    <w:rsid w:val="0BE300B2"/>
    <w:rsid w:val="0C03486C"/>
    <w:rsid w:val="0CD65E68"/>
    <w:rsid w:val="0D132456"/>
    <w:rsid w:val="0D991370"/>
    <w:rsid w:val="0E3A6663"/>
    <w:rsid w:val="0E635C69"/>
    <w:rsid w:val="0F616722"/>
    <w:rsid w:val="0F7C5D76"/>
    <w:rsid w:val="0FE8213B"/>
    <w:rsid w:val="10B93F5F"/>
    <w:rsid w:val="11484FD0"/>
    <w:rsid w:val="11755C50"/>
    <w:rsid w:val="118714DF"/>
    <w:rsid w:val="12A54869"/>
    <w:rsid w:val="14111FFD"/>
    <w:rsid w:val="155B5014"/>
    <w:rsid w:val="159E329B"/>
    <w:rsid w:val="16E82A20"/>
    <w:rsid w:val="1752258F"/>
    <w:rsid w:val="19145D4E"/>
    <w:rsid w:val="1A044015"/>
    <w:rsid w:val="1B707488"/>
    <w:rsid w:val="1BBD091F"/>
    <w:rsid w:val="1C1F7C65"/>
    <w:rsid w:val="1CB72C9D"/>
    <w:rsid w:val="1CF4130A"/>
    <w:rsid w:val="1D507571"/>
    <w:rsid w:val="1D540E0F"/>
    <w:rsid w:val="1DD75234"/>
    <w:rsid w:val="1E1D784B"/>
    <w:rsid w:val="1ECE2E43"/>
    <w:rsid w:val="1FAD147A"/>
    <w:rsid w:val="227A4620"/>
    <w:rsid w:val="22934188"/>
    <w:rsid w:val="231B417D"/>
    <w:rsid w:val="23403BE4"/>
    <w:rsid w:val="235E148E"/>
    <w:rsid w:val="23841C60"/>
    <w:rsid w:val="2392443F"/>
    <w:rsid w:val="2406098A"/>
    <w:rsid w:val="248A4756"/>
    <w:rsid w:val="2536704D"/>
    <w:rsid w:val="25A14E4D"/>
    <w:rsid w:val="25AF6C3F"/>
    <w:rsid w:val="260D24A3"/>
    <w:rsid w:val="267912AC"/>
    <w:rsid w:val="26DC3C24"/>
    <w:rsid w:val="26E36588"/>
    <w:rsid w:val="27372964"/>
    <w:rsid w:val="27A6495D"/>
    <w:rsid w:val="27CC6A7A"/>
    <w:rsid w:val="28520641"/>
    <w:rsid w:val="28F25980"/>
    <w:rsid w:val="292F2A9F"/>
    <w:rsid w:val="2AA8279A"/>
    <w:rsid w:val="2BE12008"/>
    <w:rsid w:val="2C6F664E"/>
    <w:rsid w:val="2C761602"/>
    <w:rsid w:val="2C7C73C7"/>
    <w:rsid w:val="2D3A567C"/>
    <w:rsid w:val="2D614E83"/>
    <w:rsid w:val="2E5844D8"/>
    <w:rsid w:val="2EAC4635"/>
    <w:rsid w:val="2EB06FB9"/>
    <w:rsid w:val="302506A9"/>
    <w:rsid w:val="309612E7"/>
    <w:rsid w:val="309B06AC"/>
    <w:rsid w:val="310B3A83"/>
    <w:rsid w:val="314B3F17"/>
    <w:rsid w:val="32CA49BD"/>
    <w:rsid w:val="3321758E"/>
    <w:rsid w:val="33854703"/>
    <w:rsid w:val="33A96152"/>
    <w:rsid w:val="340D366E"/>
    <w:rsid w:val="34B745FD"/>
    <w:rsid w:val="35131158"/>
    <w:rsid w:val="35B10A26"/>
    <w:rsid w:val="35D24B6F"/>
    <w:rsid w:val="377203B8"/>
    <w:rsid w:val="37DE5A4E"/>
    <w:rsid w:val="37EA43F2"/>
    <w:rsid w:val="380A4A95"/>
    <w:rsid w:val="394079FC"/>
    <w:rsid w:val="39501A09"/>
    <w:rsid w:val="39625C66"/>
    <w:rsid w:val="398F777C"/>
    <w:rsid w:val="3A1219DE"/>
    <w:rsid w:val="3A3547DA"/>
    <w:rsid w:val="3A4678DA"/>
    <w:rsid w:val="3AA12D62"/>
    <w:rsid w:val="3AC727C9"/>
    <w:rsid w:val="3D4C0065"/>
    <w:rsid w:val="3F3A5749"/>
    <w:rsid w:val="3FD45F98"/>
    <w:rsid w:val="40A5244D"/>
    <w:rsid w:val="416A59DD"/>
    <w:rsid w:val="42DD32B7"/>
    <w:rsid w:val="433C115C"/>
    <w:rsid w:val="44AB2EAD"/>
    <w:rsid w:val="44D55CD2"/>
    <w:rsid w:val="45DA1B5F"/>
    <w:rsid w:val="46FF32EA"/>
    <w:rsid w:val="472745EF"/>
    <w:rsid w:val="48425B85"/>
    <w:rsid w:val="4916491B"/>
    <w:rsid w:val="49AD5280"/>
    <w:rsid w:val="49D62A28"/>
    <w:rsid w:val="4A437992"/>
    <w:rsid w:val="4A622219"/>
    <w:rsid w:val="4A791606"/>
    <w:rsid w:val="4B616322"/>
    <w:rsid w:val="4BC75581"/>
    <w:rsid w:val="4C1B7678"/>
    <w:rsid w:val="4CCC19A6"/>
    <w:rsid w:val="4CD54A33"/>
    <w:rsid w:val="4CF4393C"/>
    <w:rsid w:val="4D4128AF"/>
    <w:rsid w:val="4D852E94"/>
    <w:rsid w:val="4D9023D0"/>
    <w:rsid w:val="4E9563FB"/>
    <w:rsid w:val="4F5F0DCA"/>
    <w:rsid w:val="4F7A7509"/>
    <w:rsid w:val="50175B49"/>
    <w:rsid w:val="51921170"/>
    <w:rsid w:val="522602C5"/>
    <w:rsid w:val="52F85B2C"/>
    <w:rsid w:val="530F4056"/>
    <w:rsid w:val="532219F2"/>
    <w:rsid w:val="533F163E"/>
    <w:rsid w:val="54E00A4E"/>
    <w:rsid w:val="55DB4169"/>
    <w:rsid w:val="56D46542"/>
    <w:rsid w:val="57835ABB"/>
    <w:rsid w:val="58C63C68"/>
    <w:rsid w:val="58F63101"/>
    <w:rsid w:val="5A490530"/>
    <w:rsid w:val="5B15480D"/>
    <w:rsid w:val="5C530585"/>
    <w:rsid w:val="5CA6258E"/>
    <w:rsid w:val="5D3263AF"/>
    <w:rsid w:val="5E2751A9"/>
    <w:rsid w:val="5E35398F"/>
    <w:rsid w:val="5E9D7D9B"/>
    <w:rsid w:val="605A428E"/>
    <w:rsid w:val="607C7302"/>
    <w:rsid w:val="60B97540"/>
    <w:rsid w:val="61A60ADB"/>
    <w:rsid w:val="61C64CD9"/>
    <w:rsid w:val="627D5CDF"/>
    <w:rsid w:val="640D1D2C"/>
    <w:rsid w:val="647E189B"/>
    <w:rsid w:val="649D6B2C"/>
    <w:rsid w:val="64A05CB5"/>
    <w:rsid w:val="64A5552C"/>
    <w:rsid w:val="64B41760"/>
    <w:rsid w:val="651657B5"/>
    <w:rsid w:val="651D5558"/>
    <w:rsid w:val="65326697"/>
    <w:rsid w:val="654B07E5"/>
    <w:rsid w:val="66996E60"/>
    <w:rsid w:val="67401089"/>
    <w:rsid w:val="675A0C84"/>
    <w:rsid w:val="67CB3049"/>
    <w:rsid w:val="6827689E"/>
    <w:rsid w:val="68CA50AF"/>
    <w:rsid w:val="6908001A"/>
    <w:rsid w:val="69142619"/>
    <w:rsid w:val="69A531F4"/>
    <w:rsid w:val="6A95793E"/>
    <w:rsid w:val="6B0F76F1"/>
    <w:rsid w:val="6B501458"/>
    <w:rsid w:val="6BA0659B"/>
    <w:rsid w:val="6BE7241B"/>
    <w:rsid w:val="6C1E53CC"/>
    <w:rsid w:val="6E2F5A53"/>
    <w:rsid w:val="6EB011EB"/>
    <w:rsid w:val="6F573414"/>
    <w:rsid w:val="6F632D56"/>
    <w:rsid w:val="700C2451"/>
    <w:rsid w:val="70743F67"/>
    <w:rsid w:val="70994252"/>
    <w:rsid w:val="718D18E7"/>
    <w:rsid w:val="72B9079F"/>
    <w:rsid w:val="73627245"/>
    <w:rsid w:val="737455D5"/>
    <w:rsid w:val="737E5413"/>
    <w:rsid w:val="73B726D3"/>
    <w:rsid w:val="74024296"/>
    <w:rsid w:val="75882579"/>
    <w:rsid w:val="75DE488F"/>
    <w:rsid w:val="767B20DE"/>
    <w:rsid w:val="76FF686B"/>
    <w:rsid w:val="779C2747"/>
    <w:rsid w:val="78324A1E"/>
    <w:rsid w:val="78F53783"/>
    <w:rsid w:val="79181E66"/>
    <w:rsid w:val="7936053E"/>
    <w:rsid w:val="799A7DA0"/>
    <w:rsid w:val="79B0209F"/>
    <w:rsid w:val="79BA116F"/>
    <w:rsid w:val="79EF5B99"/>
    <w:rsid w:val="7A903C7E"/>
    <w:rsid w:val="7AD718AD"/>
    <w:rsid w:val="7C4411C4"/>
    <w:rsid w:val="7C790E6E"/>
    <w:rsid w:val="7C9F123C"/>
    <w:rsid w:val="7CA53A11"/>
    <w:rsid w:val="7CBD4FB1"/>
    <w:rsid w:val="7CF62DCD"/>
    <w:rsid w:val="7D16490F"/>
    <w:rsid w:val="7D360B0D"/>
    <w:rsid w:val="7DA51EE9"/>
    <w:rsid w:val="7DDA3916"/>
    <w:rsid w:val="7E694F12"/>
    <w:rsid w:val="7F182BC0"/>
    <w:rsid w:val="7F857B2A"/>
    <w:rsid w:val="7F8E0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8"/>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autoRedefine/>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autoRedefine/>
    <w:semiHidden/>
    <w:unhideWhenUsed/>
    <w:qFormat/>
    <w:uiPriority w:val="99"/>
    <w:pPr>
      <w:jc w:val="left"/>
    </w:pPr>
  </w:style>
  <w:style w:type="paragraph" w:styleId="14">
    <w:name w:val="Body Text"/>
    <w:basedOn w:val="1"/>
    <w:link w:val="87"/>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6"/>
    <w:autoRedefine/>
    <w:semiHidden/>
    <w:unhideWhenUsed/>
    <w:qFormat/>
    <w:uiPriority w:val="99"/>
    <w:rPr>
      <w:sz w:val="18"/>
      <w:szCs w:val="18"/>
    </w:rPr>
  </w:style>
  <w:style w:type="paragraph" w:styleId="18">
    <w:name w:val="footer"/>
    <w:basedOn w:val="1"/>
    <w:link w:val="45"/>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49"/>
    <w:autoRedefine/>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Emphasis"/>
    <w:autoRedefine/>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footnote reference"/>
    <w:autoRedefine/>
    <w:semiHidden/>
    <w:qFormat/>
    <w:uiPriority w:val="0"/>
    <w:rPr>
      <w:rFonts w:ascii="宋体" w:hAnsi="宋体" w:eastAsia="宋体" w:cs="Times New Roman"/>
      <w:spacing w:val="0"/>
      <w:sz w:val="18"/>
      <w:vertAlign w:val="superscript"/>
    </w:rPr>
  </w:style>
  <w:style w:type="character" w:customStyle="1" w:styleId="35">
    <w:name w:val="标题 1 字符"/>
    <w:link w:val="2"/>
    <w:autoRedefine/>
    <w:qFormat/>
    <w:uiPriority w:val="0"/>
    <w:rPr>
      <w:b/>
      <w:bCs/>
      <w:kern w:val="44"/>
      <w:sz w:val="44"/>
      <w:szCs w:val="44"/>
    </w:rPr>
  </w:style>
  <w:style w:type="character" w:customStyle="1" w:styleId="36">
    <w:name w:val="标题 2 字符"/>
    <w:link w:val="3"/>
    <w:autoRedefine/>
    <w:qFormat/>
    <w:uiPriority w:val="0"/>
    <w:rPr>
      <w:rFonts w:ascii="Arial" w:hAnsi="Arial" w:eastAsia="黑体"/>
      <w:b/>
      <w:bCs/>
      <w:kern w:val="2"/>
      <w:sz w:val="32"/>
      <w:szCs w:val="32"/>
    </w:rPr>
  </w:style>
  <w:style w:type="character" w:customStyle="1" w:styleId="37">
    <w:name w:val="标题 3 字符"/>
    <w:link w:val="4"/>
    <w:autoRedefine/>
    <w:qFormat/>
    <w:uiPriority w:val="0"/>
    <w:rPr>
      <w:b/>
      <w:bCs/>
      <w:kern w:val="2"/>
      <w:sz w:val="32"/>
      <w:szCs w:val="32"/>
    </w:rPr>
  </w:style>
  <w:style w:type="character" w:customStyle="1" w:styleId="38">
    <w:name w:val="标题 4 字符"/>
    <w:link w:val="5"/>
    <w:autoRedefine/>
    <w:qFormat/>
    <w:uiPriority w:val="0"/>
    <w:rPr>
      <w:rFonts w:ascii="Arial" w:hAnsi="Arial" w:eastAsia="黑体"/>
      <w:b/>
      <w:bCs/>
      <w:kern w:val="2"/>
      <w:sz w:val="28"/>
      <w:szCs w:val="28"/>
    </w:rPr>
  </w:style>
  <w:style w:type="character" w:customStyle="1" w:styleId="39">
    <w:name w:val="标题 5 字符"/>
    <w:link w:val="6"/>
    <w:autoRedefine/>
    <w:qFormat/>
    <w:uiPriority w:val="0"/>
    <w:rPr>
      <w:b/>
      <w:bCs/>
      <w:kern w:val="2"/>
      <w:sz w:val="28"/>
      <w:szCs w:val="28"/>
    </w:rPr>
  </w:style>
  <w:style w:type="character" w:customStyle="1" w:styleId="40">
    <w:name w:val="标题 6 字符"/>
    <w:link w:val="7"/>
    <w:autoRedefine/>
    <w:qFormat/>
    <w:uiPriority w:val="0"/>
    <w:rPr>
      <w:rFonts w:ascii="Arial" w:hAnsi="Arial" w:eastAsia="黑体"/>
      <w:b/>
      <w:bCs/>
      <w:kern w:val="2"/>
      <w:sz w:val="24"/>
      <w:szCs w:val="24"/>
    </w:rPr>
  </w:style>
  <w:style w:type="character" w:customStyle="1" w:styleId="41">
    <w:name w:val="标题 7 字符"/>
    <w:link w:val="8"/>
    <w:autoRedefine/>
    <w:qFormat/>
    <w:uiPriority w:val="0"/>
    <w:rPr>
      <w:b/>
      <w:bCs/>
      <w:kern w:val="2"/>
      <w:sz w:val="24"/>
      <w:szCs w:val="24"/>
    </w:rPr>
  </w:style>
  <w:style w:type="character" w:customStyle="1" w:styleId="42">
    <w:name w:val="标题 8 字符"/>
    <w:link w:val="9"/>
    <w:autoRedefine/>
    <w:qFormat/>
    <w:uiPriority w:val="0"/>
    <w:rPr>
      <w:rFonts w:ascii="Arial" w:hAnsi="Arial" w:eastAsia="黑体"/>
      <w:kern w:val="2"/>
      <w:sz w:val="24"/>
      <w:szCs w:val="24"/>
    </w:rPr>
  </w:style>
  <w:style w:type="character" w:customStyle="1" w:styleId="43">
    <w:name w:val="标题 9 字符"/>
    <w:link w:val="10"/>
    <w:autoRedefine/>
    <w:qFormat/>
    <w:uiPriority w:val="0"/>
    <w:rPr>
      <w:rFonts w:ascii="Arial" w:hAnsi="Arial" w:eastAsia="黑体"/>
      <w:kern w:val="2"/>
      <w:sz w:val="21"/>
      <w:szCs w:val="21"/>
    </w:rPr>
  </w:style>
  <w:style w:type="character" w:customStyle="1" w:styleId="44">
    <w:name w:val="页眉 字符"/>
    <w:link w:val="19"/>
    <w:autoRedefine/>
    <w:qFormat/>
    <w:uiPriority w:val="99"/>
    <w:rPr>
      <w:kern w:val="2"/>
      <w:sz w:val="18"/>
      <w:szCs w:val="18"/>
    </w:rPr>
  </w:style>
  <w:style w:type="character" w:customStyle="1" w:styleId="45">
    <w:name w:val="页脚 字符"/>
    <w:link w:val="18"/>
    <w:autoRedefine/>
    <w:qFormat/>
    <w:uiPriority w:val="99"/>
    <w:rPr>
      <w:rFonts w:ascii="宋体"/>
      <w:kern w:val="2"/>
      <w:sz w:val="18"/>
      <w:szCs w:val="18"/>
    </w:rPr>
  </w:style>
  <w:style w:type="character" w:customStyle="1" w:styleId="46">
    <w:name w:val="批注框文本 字符"/>
    <w:link w:val="17"/>
    <w:autoRedefine/>
    <w:semiHidden/>
    <w:qFormat/>
    <w:uiPriority w:val="99"/>
    <w:rPr>
      <w:kern w:val="2"/>
      <w:sz w:val="18"/>
      <w:szCs w:val="18"/>
    </w:rPr>
  </w:style>
  <w:style w:type="paragraph" w:styleId="47">
    <w:name w:val="Quote"/>
    <w:basedOn w:val="1"/>
    <w:next w:val="1"/>
    <w:link w:val="48"/>
    <w:autoRedefine/>
    <w:qFormat/>
    <w:uiPriority w:val="29"/>
    <w:rPr>
      <w:i/>
      <w:iCs/>
      <w:color w:val="000000"/>
    </w:rPr>
  </w:style>
  <w:style w:type="character" w:customStyle="1" w:styleId="48">
    <w:name w:val="引用 字符"/>
    <w:link w:val="47"/>
    <w:autoRedefine/>
    <w:qFormat/>
    <w:uiPriority w:val="29"/>
    <w:rPr>
      <w:i/>
      <w:iCs/>
      <w:color w:val="000000"/>
      <w:kern w:val="2"/>
      <w:sz w:val="21"/>
      <w:szCs w:val="21"/>
    </w:rPr>
  </w:style>
  <w:style w:type="character" w:customStyle="1" w:styleId="49">
    <w:name w:val="标题 字符"/>
    <w:link w:val="26"/>
    <w:autoRedefine/>
    <w:qFormat/>
    <w:uiPriority w:val="0"/>
    <w:rPr>
      <w:rFonts w:ascii="Arial" w:hAnsi="Arial" w:cs="Arial"/>
      <w:b/>
      <w:bCs/>
      <w:kern w:val="2"/>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autoRedefine/>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autoRedefine/>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autoRedefine/>
    <w:qFormat/>
    <w:uiPriority w:val="0"/>
    <w:rPr>
      <w:kern w:val="2"/>
      <w:sz w:val="21"/>
      <w:szCs w:val="21"/>
    </w:rPr>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ind w:left="0" w:firstLine="0"/>
    </w:pPr>
  </w:style>
  <w:style w:type="paragraph" w:customStyle="1" w:styleId="92">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autoRedefine/>
    <w:qFormat/>
    <w:uiPriority w:val="0"/>
    <w:pPr>
      <w:numPr>
        <w:numId w:val="10"/>
      </w:numPr>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不明显参考1"/>
    <w:autoRedefine/>
    <w:qFormat/>
    <w:uiPriority w:val="31"/>
    <w:rPr>
      <w:smallCaps/>
      <w:color w:val="C0504D"/>
      <w:u w:val="single"/>
    </w:rPr>
  </w:style>
  <w:style w:type="paragraph" w:customStyle="1" w:styleId="97">
    <w:name w:val="标准文件_示例后续"/>
    <w:basedOn w:val="1"/>
    <w:autoRedefine/>
    <w:qFormat/>
    <w:uiPriority w:val="0"/>
    <w:pPr>
      <w:adjustRightInd/>
      <w:spacing w:line="240" w:lineRule="auto"/>
      <w:ind w:firstLine="200" w:firstLineChars="200"/>
    </w:pPr>
    <w:rPr>
      <w:sz w:val="18"/>
      <w:szCs w:val="24"/>
    </w:rPr>
  </w:style>
  <w:style w:type="paragraph" w:customStyle="1" w:styleId="98">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autoRedefine/>
    <w:semiHidden/>
    <w:qFormat/>
    <w:uiPriority w:val="0"/>
    <w:rPr>
      <w:rFonts w:ascii="宋体"/>
      <w:kern w:val="2"/>
      <w:sz w:val="18"/>
      <w:szCs w:val="18"/>
    </w:rPr>
  </w:style>
  <w:style w:type="paragraph" w:customStyle="1" w:styleId="101">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autoRedefine/>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50" w:beforeLines="50" w:after="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autoRedefine/>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88"/>
    <w:next w:val="57"/>
    <w:autoRedefine/>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autoRedefine/>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autoRedefine/>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autoRedefine/>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autoRedefine/>
    <w:qFormat/>
    <w:uiPriority w:val="0"/>
    <w:pPr>
      <w:numPr>
        <w:ilvl w:val="6"/>
        <w:numId w:val="20"/>
      </w:numPr>
      <w:adjustRightInd/>
    </w:pPr>
    <w:rPr>
      <w:szCs w:val="24"/>
    </w:rPr>
  </w:style>
  <w:style w:type="paragraph" w:customStyle="1" w:styleId="160">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1">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autoRedefine/>
    <w:qFormat/>
    <w:uiPriority w:val="0"/>
    <w:pPr>
      <w:ind w:left="1406" w:leftChars="0" w:hanging="499" w:firstLineChars="0"/>
    </w:pPr>
  </w:style>
  <w:style w:type="paragraph" w:customStyle="1" w:styleId="163">
    <w:name w:val="标准文件_一级无标题"/>
    <w:basedOn w:val="106"/>
    <w:autoRedefine/>
    <w:qFormat/>
    <w:uiPriority w:val="0"/>
    <w:pPr>
      <w:spacing w:before="0" w:beforeLines="0" w:after="0" w:afterLines="0"/>
      <w:outlineLvl w:val="9"/>
    </w:pPr>
    <w:rPr>
      <w:rFonts w:ascii="宋体" w:eastAsia="宋体"/>
    </w:rPr>
  </w:style>
  <w:style w:type="paragraph" w:customStyle="1" w:styleId="164">
    <w:name w:val="标准文件_五级无标题"/>
    <w:basedOn w:val="104"/>
    <w:autoRedefine/>
    <w:qFormat/>
    <w:uiPriority w:val="0"/>
    <w:pPr>
      <w:spacing w:before="0" w:beforeLines="0" w:after="0" w:afterLines="0"/>
      <w:outlineLvl w:val="9"/>
    </w:pPr>
    <w:rPr>
      <w:rFonts w:ascii="宋体" w:eastAsia="宋体"/>
    </w:rPr>
  </w:style>
  <w:style w:type="paragraph" w:customStyle="1" w:styleId="165">
    <w:name w:val="标准文件_三级无标题"/>
    <w:basedOn w:val="95"/>
    <w:autoRedefine/>
    <w:qFormat/>
    <w:uiPriority w:val="0"/>
    <w:pPr>
      <w:spacing w:before="0" w:beforeLines="0" w:after="0" w:afterLines="0"/>
      <w:outlineLvl w:val="9"/>
    </w:pPr>
    <w:rPr>
      <w:rFonts w:ascii="宋体" w:eastAsia="宋体"/>
    </w:rPr>
  </w:style>
  <w:style w:type="paragraph" w:customStyle="1" w:styleId="166">
    <w:name w:val="标准文件_二级无标题"/>
    <w:basedOn w:val="66"/>
    <w:autoRedefine/>
    <w:qFormat/>
    <w:uiPriority w:val="0"/>
    <w:pPr>
      <w:spacing w:before="0" w:beforeLines="0" w:after="0" w:afterLines="0"/>
      <w:outlineLvl w:val="9"/>
    </w:pPr>
    <w:rPr>
      <w:rFonts w:ascii="宋体" w:eastAsia="宋体"/>
    </w:rPr>
  </w:style>
  <w:style w:type="paragraph" w:customStyle="1" w:styleId="167">
    <w:name w:val="标准_四级无标题"/>
    <w:basedOn w:val="99"/>
    <w:next w:val="57"/>
    <w:autoRedefine/>
    <w:qFormat/>
    <w:uiPriority w:val="0"/>
    <w:rPr>
      <w:rFonts w:eastAsia="宋体"/>
    </w:rPr>
  </w:style>
  <w:style w:type="paragraph" w:customStyle="1" w:styleId="168">
    <w:name w:val="标准文件_四级无标题"/>
    <w:basedOn w:val="99"/>
    <w:autoRedefine/>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autoRedefine/>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autoRedefine/>
    <w:qFormat/>
    <w:uiPriority w:val="0"/>
    <w:pPr>
      <w:numPr>
        <w:ilvl w:val="0"/>
        <w:numId w:val="24"/>
      </w:numPr>
      <w:ind w:firstLine="0" w:firstLineChars="0"/>
    </w:pPr>
    <w:rPr>
      <w:rFonts w:cs="Arial"/>
      <w:szCs w:val="28"/>
    </w:rPr>
  </w:style>
  <w:style w:type="paragraph" w:customStyle="1" w:styleId="171">
    <w:name w:val="标准文件_附录标题"/>
    <w:basedOn w:val="77"/>
    <w:autoRedefine/>
    <w:qFormat/>
    <w:uiPriority w:val="0"/>
    <w:pPr>
      <w:numPr>
        <w:numId w:val="0"/>
      </w:numPr>
      <w:spacing w:after="280"/>
      <w:outlineLvl w:val="9"/>
    </w:pPr>
  </w:style>
  <w:style w:type="paragraph" w:customStyle="1" w:styleId="172">
    <w:name w:val="标准文件_二级项"/>
    <w:autoRedefine/>
    <w:qFormat/>
    <w:uiPriority w:val="0"/>
    <w:rPr>
      <w:rFonts w:ascii="宋体" w:hAnsi="Times New Roman" w:eastAsia="宋体" w:cs="Times New Roman"/>
      <w:sz w:val="21"/>
      <w:lang w:val="en-US" w:eastAsia="zh-CN" w:bidi="ar-SA"/>
    </w:rPr>
  </w:style>
  <w:style w:type="paragraph" w:customStyle="1" w:styleId="173">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autoRedefine/>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autoRedefine/>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autoRedefine/>
    <w:qFormat/>
    <w:uiPriority w:val="0"/>
    <w:pPr>
      <w:ind w:firstLine="0" w:firstLineChars="0"/>
      <w:jc w:val="center"/>
    </w:pPr>
    <w:rPr>
      <w:sz w:val="18"/>
    </w:rPr>
  </w:style>
  <w:style w:type="paragraph" w:customStyle="1" w:styleId="180">
    <w:name w:val="标准文件_注："/>
    <w:next w:val="57"/>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autoRedefine/>
    <w:qFormat/>
    <w:uiPriority w:val="0"/>
    <w:pPr>
      <w:ind w:firstLine="420"/>
    </w:pPr>
    <w:rPr>
      <w:sz w:val="18"/>
    </w:rPr>
  </w:style>
  <w:style w:type="paragraph" w:customStyle="1" w:styleId="184">
    <w:name w:val="标准文件_示例×："/>
    <w:basedOn w:val="1"/>
    <w:next w:val="183"/>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autoRedefine/>
    <w:qFormat/>
    <w:uiPriority w:val="0"/>
    <w:rPr>
      <w:rFonts w:ascii="宋体" w:hAnsi="Times New Roman"/>
      <w:sz w:val="21"/>
    </w:rPr>
  </w:style>
  <w:style w:type="paragraph" w:customStyle="1" w:styleId="186">
    <w:name w:val="标准文件_表格续"/>
    <w:basedOn w:val="57"/>
    <w:next w:val="57"/>
    <w:autoRedefine/>
    <w:qFormat/>
    <w:uiPriority w:val="0"/>
    <w:pPr>
      <w:jc w:val="center"/>
    </w:pPr>
    <w:rPr>
      <w:rFonts w:ascii="黑体" w:hAnsi="黑体" w:eastAsia="黑体"/>
    </w:rPr>
  </w:style>
  <w:style w:type="character" w:styleId="187">
    <w:name w:val="Placeholder Text"/>
    <w:basedOn w:val="29"/>
    <w:autoRedefine/>
    <w:semiHidden/>
    <w:qFormat/>
    <w:uiPriority w:val="99"/>
    <w:rPr>
      <w:color w:val="808080"/>
    </w:rPr>
  </w:style>
  <w:style w:type="paragraph" w:customStyle="1" w:styleId="188">
    <w:name w:val="标准文件_二级项2"/>
    <w:basedOn w:val="57"/>
    <w:autoRedefine/>
    <w:qFormat/>
    <w:uiPriority w:val="0"/>
    <w:pPr>
      <w:numPr>
        <w:ilvl w:val="1"/>
        <w:numId w:val="21"/>
      </w:numPr>
      <w:ind w:firstLine="0" w:firstLineChars="0"/>
    </w:pPr>
  </w:style>
  <w:style w:type="paragraph" w:customStyle="1" w:styleId="189">
    <w:name w:val="标准文件_三级项2"/>
    <w:basedOn w:val="57"/>
    <w:autoRedefine/>
    <w:qFormat/>
    <w:uiPriority w:val="0"/>
    <w:pPr>
      <w:numPr>
        <w:ilvl w:val="0"/>
        <w:numId w:val="30"/>
      </w:numPr>
      <w:spacing w:line="300" w:lineRule="exact"/>
      <w:ind w:firstLineChars="0"/>
    </w:pPr>
    <w:rPr>
      <w:rFonts w:ascii="Times New Roman"/>
    </w:rPr>
  </w:style>
  <w:style w:type="paragraph" w:customStyle="1" w:styleId="190">
    <w:name w:val="标准文件_一级项2"/>
    <w:basedOn w:val="57"/>
    <w:autoRedefine/>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autoRedefine/>
    <w:qFormat/>
    <w:uiPriority w:val="0"/>
    <w:pPr>
      <w:ind w:firstLine="420"/>
    </w:pPr>
    <w:rPr>
      <w:rFonts w:ascii="黑体" w:eastAsia="黑体"/>
    </w:rPr>
  </w:style>
  <w:style w:type="character" w:customStyle="1" w:styleId="192">
    <w:name w:val="标准文件_来源"/>
    <w:basedOn w:val="29"/>
    <w:autoRedefine/>
    <w:qFormat/>
    <w:uiPriority w:val="1"/>
    <w:rPr>
      <w:rFonts w:eastAsia="宋体"/>
      <w:sz w:val="21"/>
    </w:rPr>
  </w:style>
  <w:style w:type="paragraph" w:customStyle="1" w:styleId="193">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autoRedefine/>
    <w:qFormat/>
    <w:uiPriority w:val="0"/>
    <w:pPr>
      <w:framePr w:w="3997" w:h="471" w:hRule="exact" w:hSpace="0" w:vSpace="181" w:wrap="around" w:vAnchor="page" w:hAnchor="page" w:x="1419" w:y="14097"/>
    </w:pPr>
  </w:style>
  <w:style w:type="paragraph" w:customStyle="1" w:styleId="195">
    <w:name w:val="其他实施日期"/>
    <w:basedOn w:val="155"/>
    <w:autoRedefine/>
    <w:qFormat/>
    <w:uiPriority w:val="0"/>
    <w:pPr>
      <w:framePr w:w="3997" w:h="471" w:hRule="exact" w:vSpace="181" w:wrap="around" w:vAnchor="page" w:hAnchor="page" w:x="7089" w:y="14097"/>
    </w:pPr>
  </w:style>
  <w:style w:type="paragraph" w:customStyle="1" w:styleId="196">
    <w:name w:val="标准文件_文件编号"/>
    <w:basedOn w:val="57"/>
    <w:autoRedefine/>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autoRedefine/>
    <w:qFormat/>
    <w:uiPriority w:val="0"/>
    <w:pPr>
      <w:framePr w:wrap="around"/>
      <w:spacing w:before="57"/>
    </w:pPr>
    <w:rPr>
      <w:sz w:val="21"/>
    </w:rPr>
  </w:style>
  <w:style w:type="paragraph" w:customStyle="1" w:styleId="198">
    <w:name w:val="标准文件_文件名称"/>
    <w:basedOn w:val="57"/>
    <w:next w:val="57"/>
    <w:autoRedefine/>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autoRedefine/>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autoRedefine/>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autoRedefine/>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autoRedefine/>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autoRedefine/>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autoRedefine/>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autoRedefine/>
    <w:qFormat/>
    <w:uiPriority w:val="0"/>
    <w:pPr>
      <w:ind w:left="811" w:firstLine="0" w:firstLineChars="0"/>
    </w:pPr>
    <w:rPr>
      <w:sz w:val="18"/>
    </w:rPr>
  </w:style>
  <w:style w:type="paragraph" w:customStyle="1" w:styleId="207">
    <w:name w:val="标准文件_注X后"/>
    <w:basedOn w:val="57"/>
    <w:autoRedefine/>
    <w:qFormat/>
    <w:uiPriority w:val="0"/>
    <w:pPr>
      <w:ind w:left="811" w:firstLine="0" w:firstLineChars="0"/>
    </w:pPr>
    <w:rPr>
      <w:sz w:val="18"/>
    </w:rPr>
  </w:style>
  <w:style w:type="paragraph" w:customStyle="1" w:styleId="208">
    <w:name w:val="标准文件_示例后"/>
    <w:basedOn w:val="57"/>
    <w:autoRedefine/>
    <w:qFormat/>
    <w:uiPriority w:val="0"/>
    <w:pPr>
      <w:ind w:left="964" w:firstLine="0" w:firstLineChars="0"/>
    </w:pPr>
    <w:rPr>
      <w:sz w:val="18"/>
    </w:rPr>
  </w:style>
  <w:style w:type="paragraph" w:customStyle="1" w:styleId="209">
    <w:name w:val="标准文件_示例X后"/>
    <w:basedOn w:val="57"/>
    <w:link w:val="210"/>
    <w:autoRedefine/>
    <w:qFormat/>
    <w:uiPriority w:val="0"/>
    <w:pPr>
      <w:ind w:left="1049" w:firstLine="0" w:firstLineChars="0"/>
    </w:pPr>
    <w:rPr>
      <w:sz w:val="18"/>
    </w:rPr>
  </w:style>
  <w:style w:type="character" w:customStyle="1" w:styleId="210">
    <w:name w:val="标准文件_示例X后 字符"/>
    <w:basedOn w:val="185"/>
    <w:link w:val="209"/>
    <w:autoRedefine/>
    <w:qFormat/>
    <w:uiPriority w:val="0"/>
    <w:rPr>
      <w:rFonts w:ascii="宋体" w:hAnsi="Times New Roman"/>
      <w:sz w:val="18"/>
    </w:rPr>
  </w:style>
  <w:style w:type="paragraph" w:customStyle="1" w:styleId="211">
    <w:name w:val="标准文件_索引项"/>
    <w:basedOn w:val="57"/>
    <w:next w:val="57"/>
    <w:autoRedefine/>
    <w:qFormat/>
    <w:uiPriority w:val="0"/>
    <w:pPr>
      <w:tabs>
        <w:tab w:val="right" w:leader="dot" w:pos="9356"/>
      </w:tabs>
      <w:ind w:left="210" w:hanging="210" w:firstLineChars="0"/>
      <w:jc w:val="left"/>
    </w:pPr>
  </w:style>
  <w:style w:type="paragraph" w:customStyle="1" w:styleId="212">
    <w:name w:val="标准文件_附录一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autoRedefine/>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autoRedefine/>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autoRedefine/>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autoRedefine/>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autoRedefine/>
    <w:qFormat/>
    <w:uiPriority w:val="0"/>
    <w:pPr>
      <w:spacing w:before="0" w:beforeLines="0" w:after="0" w:afterLines="0" w:line="276" w:lineRule="auto"/>
    </w:pPr>
    <w:rPr>
      <w:rFonts w:ascii="宋体" w:eastAsia="宋体"/>
    </w:rPr>
  </w:style>
  <w:style w:type="paragraph" w:customStyle="1" w:styleId="219">
    <w:name w:val="标准文件_引言三级无标题"/>
    <w:basedOn w:val="203"/>
    <w:autoRedefine/>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autoRedefine/>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autoRedefine/>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autoRedefine/>
    <w:qFormat/>
    <w:uiPriority w:val="0"/>
    <w:rPr>
      <w:rFonts w:hAnsi="黑体"/>
    </w:rPr>
  </w:style>
  <w:style w:type="paragraph" w:customStyle="1" w:styleId="223">
    <w:name w:val="标准文件_脚注内容"/>
    <w:basedOn w:val="57"/>
    <w:autoRedefine/>
    <w:qFormat/>
    <w:uiPriority w:val="0"/>
    <w:pPr>
      <w:ind w:left="400" w:leftChars="200" w:hanging="200" w:hangingChars="200"/>
    </w:pPr>
    <w:rPr>
      <w:sz w:val="15"/>
    </w:rPr>
  </w:style>
  <w:style w:type="paragraph" w:customStyle="1" w:styleId="224">
    <w:name w:val="标准文件_术语条一"/>
    <w:basedOn w:val="163"/>
    <w:next w:val="57"/>
    <w:autoRedefine/>
    <w:qFormat/>
    <w:uiPriority w:val="0"/>
  </w:style>
  <w:style w:type="paragraph" w:customStyle="1" w:styleId="225">
    <w:name w:val="标准文件_术语条二"/>
    <w:basedOn w:val="166"/>
    <w:next w:val="57"/>
    <w:autoRedefine/>
    <w:qFormat/>
    <w:uiPriority w:val="0"/>
  </w:style>
  <w:style w:type="paragraph" w:customStyle="1" w:styleId="226">
    <w:name w:val="标准文件_术语条三"/>
    <w:basedOn w:val="165"/>
    <w:next w:val="57"/>
    <w:autoRedefine/>
    <w:qFormat/>
    <w:uiPriority w:val="0"/>
  </w:style>
  <w:style w:type="paragraph" w:customStyle="1" w:styleId="227">
    <w:name w:val="标准文件_术语条四"/>
    <w:basedOn w:val="168"/>
    <w:next w:val="57"/>
    <w:autoRedefine/>
    <w:qFormat/>
    <w:uiPriority w:val="0"/>
  </w:style>
  <w:style w:type="paragraph" w:customStyle="1" w:styleId="228">
    <w:name w:val="标准文件_术语条五"/>
    <w:basedOn w:val="164"/>
    <w:next w:val="57"/>
    <w:autoRedefine/>
    <w:qFormat/>
    <w:uiPriority w:val="0"/>
  </w:style>
  <w:style w:type="paragraph" w:customStyle="1" w:styleId="229">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autoRedefine/>
    <w:qFormat/>
    <w:uiPriority w:val="0"/>
    <w:rPr>
      <w:rFonts w:ascii="黑体" w:eastAsia="黑体"/>
      <w:spacing w:val="85"/>
      <w:w w:val="100"/>
      <w:position w:val="3"/>
      <w:sz w:val="28"/>
      <w:szCs w:val="28"/>
    </w:rPr>
  </w:style>
  <w:style w:type="paragraph" w:customStyle="1" w:styleId="231">
    <w:name w:val="前言、引言标题"/>
    <w:next w:val="232"/>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32">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二级无"/>
    <w:basedOn w:val="234"/>
    <w:autoRedefine/>
    <w:qFormat/>
    <w:uiPriority w:val="0"/>
    <w:pPr>
      <w:spacing w:before="0" w:beforeLines="0" w:after="0" w:afterLines="0"/>
    </w:pPr>
    <w:rPr>
      <w:rFonts w:ascii="宋体" w:eastAsia="宋体"/>
    </w:rPr>
  </w:style>
  <w:style w:type="paragraph" w:customStyle="1" w:styleId="234">
    <w:name w:val="二级条标题"/>
    <w:basedOn w:val="235"/>
    <w:next w:val="232"/>
    <w:autoRedefine/>
    <w:qFormat/>
    <w:uiPriority w:val="0"/>
    <w:pPr>
      <w:numPr>
        <w:ilvl w:val="2"/>
      </w:numPr>
      <w:spacing w:before="50" w:after="50"/>
      <w:outlineLvl w:val="3"/>
    </w:pPr>
  </w:style>
  <w:style w:type="paragraph" w:customStyle="1" w:styleId="235">
    <w:name w:val="一级条标题"/>
    <w:next w:val="232"/>
    <w:autoRedefine/>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styleId="236">
    <w:name w:val="List Paragraph"/>
    <w:basedOn w:val="1"/>
    <w:autoRedefine/>
    <w:qFormat/>
    <w:uiPriority w:val="0"/>
    <w:pPr>
      <w:ind w:firstLine="420" w:firstLineChars="200"/>
    </w:pPr>
    <w:rPr>
      <w:szCs w:val="22"/>
    </w:rPr>
  </w:style>
  <w:style w:type="paragraph" w:customStyle="1" w:styleId="237">
    <w:name w:val="附录表标题"/>
    <w:basedOn w:val="1"/>
    <w:next w:val="232"/>
    <w:autoRedefine/>
    <w:qFormat/>
    <w:uiPriority w:val="0"/>
    <w:pPr>
      <w:numPr>
        <w:ilvl w:val="1"/>
        <w:numId w:val="33"/>
      </w:numPr>
      <w:tabs>
        <w:tab w:val="left" w:pos="180"/>
      </w:tabs>
      <w:spacing w:before="50" w:beforeLines="50" w:after="50" w:afterLines="50"/>
      <w:ind w:left="0" w:firstLine="0"/>
      <w:jc w:val="center"/>
    </w:pPr>
    <w:rPr>
      <w:rFonts w:ascii="黑体" w:eastAsia="黑体"/>
    </w:rPr>
  </w:style>
  <w:style w:type="paragraph" w:customStyle="1" w:styleId="238">
    <w:name w:val="工可正文"/>
    <w:basedOn w:val="1"/>
    <w:autoRedefine/>
    <w:qFormat/>
    <w:uiPriority w:val="0"/>
    <w:pPr>
      <w:widowControl/>
      <w:adjustRightInd/>
      <w:spacing w:line="360" w:lineRule="auto"/>
      <w:ind w:firstLine="560" w:firstLineChars="200"/>
    </w:pPr>
    <w:rPr>
      <w:rFonts w:ascii="宋体" w:hAnsi="宋体" w:cs="宋体" w:eastAsiaTheme="minorEastAsia"/>
      <w:kern w:val="0"/>
      <w:sz w:val="28"/>
      <w:szCs w:val="20"/>
    </w:rPr>
  </w:style>
  <w:style w:type="character" w:customStyle="1" w:styleId="239">
    <w:name w:val="font31"/>
    <w:basedOn w:val="29"/>
    <w:autoRedefine/>
    <w:qFormat/>
    <w:uiPriority w:val="0"/>
    <w:rPr>
      <w:rFonts w:hint="eastAsia" w:ascii="宋体" w:hAnsi="宋体" w:eastAsia="宋体" w:cs="宋体"/>
      <w:color w:val="000000"/>
      <w:sz w:val="21"/>
      <w:szCs w:val="21"/>
      <w:u w:val="none"/>
      <w:vertAlign w:val="superscript"/>
    </w:rPr>
  </w:style>
  <w:style w:type="character" w:customStyle="1" w:styleId="240">
    <w:name w:val="font21"/>
    <w:basedOn w:val="29"/>
    <w:autoRedefine/>
    <w:qFormat/>
    <w:uiPriority w:val="0"/>
    <w:rPr>
      <w:rFonts w:hint="eastAsia" w:ascii="宋体" w:hAnsi="宋体" w:eastAsia="宋体" w:cs="宋体"/>
      <w:color w:val="000000"/>
      <w:sz w:val="21"/>
      <w:szCs w:val="21"/>
      <w:u w:val="none"/>
    </w:rPr>
  </w:style>
  <w:style w:type="character" w:customStyle="1" w:styleId="241">
    <w:name w:val="font41"/>
    <w:basedOn w:val="29"/>
    <w:autoRedefine/>
    <w:qFormat/>
    <w:uiPriority w:val="0"/>
    <w:rPr>
      <w:rFonts w:hint="eastAsia" w:ascii="宋体" w:hAnsi="宋体" w:eastAsia="宋体" w:cs="宋体"/>
      <w:color w:val="000000"/>
      <w:sz w:val="21"/>
      <w:szCs w:val="21"/>
      <w:u w:val="none"/>
      <w:vertAlign w:val="superscript"/>
    </w:rPr>
  </w:style>
  <w:style w:type="character" w:customStyle="1" w:styleId="242">
    <w:name w:val="font11"/>
    <w:basedOn w:val="29"/>
    <w:autoRedefine/>
    <w:qFormat/>
    <w:uiPriority w:val="0"/>
    <w:rPr>
      <w:rFonts w:hint="eastAsia" w:ascii="宋体" w:hAnsi="宋体" w:eastAsia="宋体" w:cs="宋体"/>
      <w:color w:val="000000"/>
      <w:sz w:val="21"/>
      <w:szCs w:val="21"/>
      <w:u w:val="none"/>
    </w:rPr>
  </w:style>
  <w:style w:type="paragraph" w:customStyle="1" w:styleId="243">
    <w:name w:val="Table Text"/>
    <w:basedOn w:val="1"/>
    <w:semiHidden/>
    <w:qFormat/>
    <w:uiPriority w:val="0"/>
    <w:rPr>
      <w:rFonts w:ascii="宋体" w:hAnsi="宋体" w:eastAsia="宋体" w:cs="宋体"/>
      <w:sz w:val="18"/>
      <w:szCs w:val="18"/>
      <w:lang w:val="en-US" w:eastAsia="en-US" w:bidi="ar-SA"/>
    </w:rPr>
  </w:style>
  <w:style w:type="table" w:customStyle="1" w:styleId="24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2.emf"/><Relationship Id="rId17" Type="http://schemas.openxmlformats.org/officeDocument/2006/relationships/oleObject" Target="embeddings/oleObject1.bin"/><Relationship Id="rId16" Type="http://schemas.openxmlformats.org/officeDocument/2006/relationships/image" Target="media/image1.tiff"/><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A755D882A994B24B05988A988F19A94"/>
        <w:style w:val=""/>
        <w:category>
          <w:name w:val="常规"/>
          <w:gallery w:val="placeholder"/>
        </w:category>
        <w:types>
          <w:type w:val="bbPlcHdr"/>
        </w:types>
        <w:behaviors>
          <w:behavior w:val="content"/>
        </w:behaviors>
        <w:description w:val=""/>
        <w:guid w:val="{D642DFBA-1420-4125-B3DD-224713BFC25B}"/>
      </w:docPartPr>
      <w:docPartBody>
        <w:p w14:paraId="3D879F16">
          <w:pPr>
            <w:pStyle w:val="5"/>
          </w:pPr>
          <w:r>
            <w:rPr>
              <w:rStyle w:val="4"/>
              <w:rFonts w:hint="eastAsia"/>
            </w:rPr>
            <w:t>单击或点击此处输入文字。</w:t>
          </w:r>
        </w:p>
      </w:docPartBody>
    </w:docPart>
    <w:docPart>
      <w:docPartPr>
        <w:name w:val="65BA53A6D73640529B552FC29BF9F35A"/>
        <w:style w:val=""/>
        <w:category>
          <w:name w:val="常规"/>
          <w:gallery w:val="placeholder"/>
        </w:category>
        <w:types>
          <w:type w:val="bbPlcHdr"/>
        </w:types>
        <w:behaviors>
          <w:behavior w:val="content"/>
        </w:behaviors>
        <w:description w:val=""/>
        <w:guid w:val="{3E991E33-AB10-4B8B-AC81-0C993B6F7CA7}"/>
      </w:docPartPr>
      <w:docPartBody>
        <w:p w14:paraId="717E35AD">
          <w:pPr>
            <w:pStyle w:val="6"/>
          </w:pPr>
          <w:r>
            <w:rPr>
              <w:rStyle w:val="4"/>
              <w:rFonts w:hint="eastAsia"/>
            </w:rPr>
            <w:t>选择一项。</w:t>
          </w:r>
        </w:p>
      </w:docPartBody>
    </w:docPart>
    <w:docPart>
      <w:docPartPr>
        <w:name w:val="1A52D902FE5E43CF9E991CB70A24CA17"/>
        <w:style w:val=""/>
        <w:category>
          <w:name w:val="常规"/>
          <w:gallery w:val="placeholder"/>
        </w:category>
        <w:types>
          <w:type w:val="bbPlcHdr"/>
        </w:types>
        <w:behaviors>
          <w:behavior w:val="content"/>
        </w:behaviors>
        <w:description w:val=""/>
        <w:guid w:val="{95925BCF-9BD1-4AEE-8435-68AB32FB8666}"/>
      </w:docPartPr>
      <w:docPartBody>
        <w:p w14:paraId="2E795380">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E93"/>
    <w:rsid w:val="00042C11"/>
    <w:rsid w:val="00116824"/>
    <w:rsid w:val="00122889"/>
    <w:rsid w:val="0021184E"/>
    <w:rsid w:val="00290A89"/>
    <w:rsid w:val="002B5901"/>
    <w:rsid w:val="00374F74"/>
    <w:rsid w:val="003A4D43"/>
    <w:rsid w:val="004B0DD2"/>
    <w:rsid w:val="004E61BA"/>
    <w:rsid w:val="00522DCC"/>
    <w:rsid w:val="00630847"/>
    <w:rsid w:val="00630D58"/>
    <w:rsid w:val="00647C3B"/>
    <w:rsid w:val="00651266"/>
    <w:rsid w:val="006715FC"/>
    <w:rsid w:val="006B5AC0"/>
    <w:rsid w:val="00755F4F"/>
    <w:rsid w:val="007E425D"/>
    <w:rsid w:val="007E7894"/>
    <w:rsid w:val="00802CA6"/>
    <w:rsid w:val="008C549B"/>
    <w:rsid w:val="00945954"/>
    <w:rsid w:val="009610C2"/>
    <w:rsid w:val="009739FA"/>
    <w:rsid w:val="009B1CC3"/>
    <w:rsid w:val="00A34569"/>
    <w:rsid w:val="00A87105"/>
    <w:rsid w:val="00AE6C45"/>
    <w:rsid w:val="00B81E93"/>
    <w:rsid w:val="00B9734A"/>
    <w:rsid w:val="00BA1DD7"/>
    <w:rsid w:val="00BC3A35"/>
    <w:rsid w:val="00BF3034"/>
    <w:rsid w:val="00C50B20"/>
    <w:rsid w:val="00D6517F"/>
    <w:rsid w:val="00DD6520"/>
    <w:rsid w:val="00E1010E"/>
    <w:rsid w:val="00F753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8A755D882A994B24B05988A988F19A94"/>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5BA53A6D73640529B552FC29BF9F35A"/>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A52D902FE5E43CF9E991CB70A24CA17"/>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14</Pages>
  <Words>6004</Words>
  <Characters>6420</Characters>
  <Lines>124</Lines>
  <Paragraphs>34</Paragraphs>
  <TotalTime>6</TotalTime>
  <ScaleCrop>false</ScaleCrop>
  <LinksUpToDate>false</LinksUpToDate>
  <CharactersWithSpaces>6596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2023-11-23T08:03:00Z</dcterms:created>
  <dc:creator>黄少东</dc:creator>
  <dc:description>&lt;config cover="true" show_menu="true" version="1.0.0" doctype="SDKXY"&gt;_x000d_
&lt;/config&gt;</dc:description>
  <cp:lastModifiedBy>蔡～happy</cp:lastModifiedBy>
  <cp:lastPrinted>2024-01-05T03:03:00Z</cp:lastPrinted>
  <dcterms:modified xsi:type="dcterms:W3CDTF">2024-12-25T09:05:14Z</dcterms:modified>
  <dc:title>地方标准</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7A463D9ECAB74F608E2A46519FB057C0_13</vt:lpwstr>
  </property>
  <property fmtid="{D5CDD505-2E9C-101B-9397-08002B2CF9AE}" pid="16" name="KSOTemplateDocerSaveRecord">
    <vt:lpwstr>eyJoZGlkIjoiOTQxOTZhYzgyMjNjNTcwYWE4ZGU0MWI5OTU3MDFkZjkiLCJ1c2VySWQiOiI1NTQwNDcyOTkifQ==</vt:lpwstr>
  </property>
</Properties>
</file>